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CF25" w14:textId="77777777" w:rsidR="00A73EB1" w:rsidRDefault="00416C11" w:rsidP="000E0A81">
      <w:pPr>
        <w:pStyle w:val="Titre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POUR DIFFUSION IMMÉDIATE</w:t>
      </w:r>
    </w:p>
    <w:p w14:paraId="672A6659" w14:textId="77777777" w:rsidR="006F2505" w:rsidRDefault="006F2505" w:rsidP="00B438FB">
      <w:pPr>
        <w:pBdr>
          <w:top w:val="single" w:sz="4" w:space="1" w:color="auto"/>
          <w:bottom w:val="single" w:sz="4" w:space="3" w:color="auto"/>
        </w:pBdr>
        <w:outlineLvl w:val="0"/>
        <w:rPr>
          <w:rFonts w:ascii="Calibri" w:hAnsi="Calibri" w:cs="Calibri"/>
          <w:bCs/>
          <w:i/>
          <w:sz w:val="22"/>
          <w:szCs w:val="22"/>
        </w:rPr>
      </w:pPr>
    </w:p>
    <w:p w14:paraId="6600EE33" w14:textId="65217C1A" w:rsidR="006A1191" w:rsidRPr="00E33392" w:rsidRDefault="009850BA" w:rsidP="009850BA">
      <w:pPr>
        <w:pBdr>
          <w:top w:val="single" w:sz="4" w:space="1" w:color="auto"/>
          <w:bottom w:val="single" w:sz="4" w:space="3" w:color="auto"/>
        </w:pBdr>
        <w:jc w:val="center"/>
        <w:outlineLvl w:val="0"/>
        <w:rPr>
          <w:rFonts w:ascii="Calibri" w:hAnsi="Calibri" w:cs="Calibri"/>
          <w:b/>
          <w:caps/>
          <w:sz w:val="28"/>
          <w:szCs w:val="28"/>
        </w:rPr>
      </w:pPr>
      <w:r w:rsidRPr="00E33392">
        <w:rPr>
          <w:rFonts w:ascii="Calibri" w:hAnsi="Calibri" w:cs="Calibri"/>
          <w:b/>
          <w:caps/>
          <w:sz w:val="28"/>
          <w:szCs w:val="28"/>
        </w:rPr>
        <w:t>L</w:t>
      </w:r>
      <w:r w:rsidR="00390D47" w:rsidRPr="00E33392">
        <w:rPr>
          <w:rFonts w:ascii="Calibri" w:hAnsi="Calibri" w:cs="Calibri"/>
          <w:b/>
          <w:caps/>
          <w:sz w:val="28"/>
          <w:szCs w:val="28"/>
        </w:rPr>
        <w:t>’</w:t>
      </w:r>
      <w:r w:rsidRPr="00E33392">
        <w:rPr>
          <w:rFonts w:ascii="Calibri" w:hAnsi="Calibri" w:cs="Calibri"/>
          <w:b/>
          <w:caps/>
          <w:sz w:val="28"/>
          <w:szCs w:val="28"/>
        </w:rPr>
        <w:t xml:space="preserve">ITAQ </w:t>
      </w:r>
      <w:r w:rsidR="00BF3D56">
        <w:rPr>
          <w:rFonts w:ascii="Calibri" w:hAnsi="Calibri" w:cs="Calibri"/>
          <w:b/>
          <w:caps/>
          <w:sz w:val="28"/>
          <w:szCs w:val="28"/>
        </w:rPr>
        <w:t>élargi</w:t>
      </w:r>
      <w:r w:rsidR="00C6030F">
        <w:rPr>
          <w:rFonts w:ascii="Calibri" w:hAnsi="Calibri" w:cs="Calibri"/>
          <w:b/>
          <w:caps/>
          <w:sz w:val="28"/>
          <w:szCs w:val="28"/>
        </w:rPr>
        <w:t>t</w:t>
      </w:r>
      <w:r w:rsidR="00BF3D56">
        <w:rPr>
          <w:rFonts w:ascii="Calibri" w:hAnsi="Calibri" w:cs="Calibri"/>
          <w:b/>
          <w:caps/>
          <w:sz w:val="28"/>
          <w:szCs w:val="28"/>
        </w:rPr>
        <w:t xml:space="preserve"> les horizons de l’enseignement supérieur agroalimentaire et la transition agroécologique</w:t>
      </w:r>
      <w:r w:rsidR="00A7492B">
        <w:rPr>
          <w:rFonts w:ascii="Calibri" w:hAnsi="Calibri" w:cs="Calibri"/>
          <w:b/>
          <w:caps/>
          <w:sz w:val="28"/>
          <w:szCs w:val="28"/>
        </w:rPr>
        <w:t xml:space="preserve"> </w:t>
      </w:r>
      <w:r w:rsidRPr="00E33392">
        <w:rPr>
          <w:rFonts w:ascii="Calibri" w:hAnsi="Calibri" w:cs="Calibri"/>
          <w:b/>
          <w:caps/>
          <w:sz w:val="28"/>
          <w:szCs w:val="28"/>
        </w:rPr>
        <w:t>:</w:t>
      </w:r>
    </w:p>
    <w:p w14:paraId="52B84242" w14:textId="77777777" w:rsidR="009850BA" w:rsidRDefault="009850BA" w:rsidP="009850BA">
      <w:pPr>
        <w:pBdr>
          <w:top w:val="single" w:sz="4" w:space="1" w:color="auto"/>
          <w:bottom w:val="single" w:sz="4" w:space="3" w:color="auto"/>
        </w:pBdr>
        <w:jc w:val="center"/>
        <w:outlineLvl w:val="0"/>
        <w:rPr>
          <w:rFonts w:ascii="Calibri" w:hAnsi="Calibri" w:cs="Calibri"/>
          <w:b/>
          <w:caps/>
          <w:sz w:val="28"/>
          <w:szCs w:val="28"/>
        </w:rPr>
      </w:pPr>
      <w:r w:rsidRPr="00E33392">
        <w:rPr>
          <w:rFonts w:ascii="Calibri" w:hAnsi="Calibri" w:cs="Calibri"/>
          <w:b/>
          <w:caps/>
          <w:sz w:val="28"/>
          <w:szCs w:val="28"/>
        </w:rPr>
        <w:t xml:space="preserve">entente </w:t>
      </w:r>
      <w:r w:rsidR="00BF3D56">
        <w:rPr>
          <w:rFonts w:ascii="Calibri" w:hAnsi="Calibri" w:cs="Calibri"/>
          <w:b/>
          <w:caps/>
          <w:sz w:val="28"/>
          <w:szCs w:val="28"/>
        </w:rPr>
        <w:t>avec</w:t>
      </w:r>
      <w:r w:rsidRPr="00E33392">
        <w:rPr>
          <w:rFonts w:ascii="Calibri" w:hAnsi="Calibri" w:cs="Calibri"/>
          <w:b/>
          <w:caps/>
          <w:sz w:val="28"/>
          <w:szCs w:val="28"/>
        </w:rPr>
        <w:t xml:space="preserve"> le ministère </w:t>
      </w:r>
      <w:r w:rsidR="00BF3D56">
        <w:rPr>
          <w:rFonts w:ascii="Calibri" w:hAnsi="Calibri" w:cs="Calibri"/>
          <w:b/>
          <w:caps/>
          <w:sz w:val="28"/>
          <w:szCs w:val="28"/>
        </w:rPr>
        <w:t xml:space="preserve">français </w:t>
      </w:r>
      <w:r w:rsidRPr="00E33392">
        <w:rPr>
          <w:rFonts w:ascii="Calibri" w:hAnsi="Calibri" w:cs="Calibri"/>
          <w:b/>
          <w:caps/>
          <w:sz w:val="28"/>
          <w:szCs w:val="28"/>
        </w:rPr>
        <w:t>de l</w:t>
      </w:r>
      <w:r w:rsidR="00390D47" w:rsidRPr="00E33392">
        <w:rPr>
          <w:rFonts w:ascii="Calibri" w:hAnsi="Calibri" w:cs="Calibri"/>
          <w:b/>
          <w:caps/>
          <w:sz w:val="28"/>
          <w:szCs w:val="28"/>
        </w:rPr>
        <w:t>’</w:t>
      </w:r>
      <w:r w:rsidRPr="00E33392">
        <w:rPr>
          <w:rFonts w:ascii="Calibri" w:hAnsi="Calibri" w:cs="Calibri"/>
          <w:b/>
          <w:caps/>
          <w:sz w:val="28"/>
          <w:szCs w:val="28"/>
        </w:rPr>
        <w:t>Agriculture et de la Souveraineté alimentaire</w:t>
      </w:r>
      <w:r w:rsidR="00B36D5A" w:rsidRPr="00E33392">
        <w:rPr>
          <w:rFonts w:ascii="Calibri" w:hAnsi="Calibri" w:cs="Calibri"/>
          <w:b/>
          <w:caps/>
          <w:sz w:val="28"/>
          <w:szCs w:val="28"/>
        </w:rPr>
        <w:t xml:space="preserve"> </w:t>
      </w:r>
    </w:p>
    <w:p w14:paraId="0A37501D" w14:textId="77777777" w:rsidR="00474C1E" w:rsidRDefault="00474C1E" w:rsidP="009850BA">
      <w:pPr>
        <w:pBdr>
          <w:top w:val="single" w:sz="4" w:space="1" w:color="auto"/>
          <w:bottom w:val="single" w:sz="4" w:space="3" w:color="auto"/>
        </w:pBdr>
        <w:outlineLvl w:val="0"/>
        <w:rPr>
          <w:rFonts w:ascii="Calibri" w:hAnsi="Calibri" w:cs="Calibri"/>
          <w:b/>
          <w:kern w:val="36"/>
          <w:sz w:val="28"/>
          <w:szCs w:val="28"/>
          <w:lang w:val="fr-FR"/>
        </w:rPr>
      </w:pPr>
    </w:p>
    <w:p w14:paraId="5DAB6C7B" w14:textId="77777777" w:rsidR="00212B58" w:rsidRDefault="00212B58" w:rsidP="00B477CF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632EC8D2" w14:textId="3926B405" w:rsidR="0055158B" w:rsidRDefault="008E5345" w:rsidP="00D6592D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</w:rPr>
        <w:t>PARIS</w:t>
      </w:r>
      <w:r w:rsidR="00601E29">
        <w:rPr>
          <w:rStyle w:val="titrefloat"/>
          <w:rFonts w:ascii="Calibri" w:hAnsi="Calibri" w:cs="Calibri"/>
          <w:sz w:val="22"/>
          <w:szCs w:val="22"/>
          <w:lang w:val="fr-FR"/>
        </w:rPr>
        <w:t>, le</w:t>
      </w:r>
      <w:r w:rsidR="00DB7967">
        <w:rPr>
          <w:rStyle w:val="titrefloat"/>
          <w:rFonts w:ascii="Calibri" w:hAnsi="Calibri" w:cs="Calibri"/>
          <w:sz w:val="22"/>
          <w:szCs w:val="22"/>
          <w:lang w:val="fr-FR"/>
        </w:rPr>
        <w:t xml:space="preserve"> </w:t>
      </w:r>
      <w:r w:rsidR="00E12A51">
        <w:rPr>
          <w:rStyle w:val="titrefloat"/>
          <w:rFonts w:ascii="Calibri" w:hAnsi="Calibri" w:cs="Calibri"/>
          <w:sz w:val="22"/>
          <w:szCs w:val="22"/>
          <w:lang w:val="fr-FR"/>
        </w:rPr>
        <w:t>6 mars</w:t>
      </w:r>
      <w:r w:rsidR="005F52F2">
        <w:rPr>
          <w:rStyle w:val="titrefloat"/>
          <w:rFonts w:ascii="Calibri" w:hAnsi="Calibri" w:cs="Calibri"/>
          <w:sz w:val="22"/>
          <w:szCs w:val="22"/>
          <w:lang w:val="fr-FR"/>
        </w:rPr>
        <w:t xml:space="preserve"> </w:t>
      </w:r>
      <w:r w:rsidR="00CC1AB4">
        <w:rPr>
          <w:rStyle w:val="titrefloat"/>
          <w:rFonts w:ascii="Calibri" w:hAnsi="Calibri" w:cs="Calibri"/>
          <w:sz w:val="22"/>
          <w:szCs w:val="22"/>
          <w:lang w:val="fr-FR"/>
        </w:rPr>
        <w:t>2</w:t>
      </w:r>
      <w:r w:rsidR="00A73EB1">
        <w:rPr>
          <w:rStyle w:val="titrefloat"/>
          <w:rFonts w:ascii="Calibri" w:hAnsi="Calibri" w:cs="Calibri"/>
          <w:sz w:val="22"/>
          <w:szCs w:val="22"/>
          <w:lang w:val="fr-FR"/>
        </w:rPr>
        <w:t>0</w:t>
      </w:r>
      <w:r w:rsidR="00E12325">
        <w:rPr>
          <w:rStyle w:val="titrefloat"/>
          <w:rFonts w:ascii="Calibri" w:hAnsi="Calibri" w:cs="Calibri"/>
          <w:sz w:val="22"/>
          <w:szCs w:val="22"/>
          <w:lang w:val="fr-FR"/>
        </w:rPr>
        <w:t>2</w:t>
      </w:r>
      <w:r w:rsidR="00473071">
        <w:rPr>
          <w:rStyle w:val="titrefloat"/>
          <w:rFonts w:ascii="Calibri" w:hAnsi="Calibri" w:cs="Calibri"/>
          <w:sz w:val="22"/>
          <w:szCs w:val="22"/>
          <w:lang w:val="fr-FR"/>
        </w:rPr>
        <w:t>3</w:t>
      </w:r>
      <w:r w:rsidR="00BF1C62">
        <w:rPr>
          <w:rStyle w:val="titrefloat"/>
          <w:rFonts w:ascii="Calibri" w:hAnsi="Calibri" w:cs="Calibri"/>
          <w:sz w:val="22"/>
          <w:szCs w:val="22"/>
          <w:lang w:val="fr-FR"/>
        </w:rPr>
        <w:t>.</w:t>
      </w:r>
      <w:r w:rsidR="00954A27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</w:t>
      </w:r>
      <w:r w:rsidR="00396C46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–</w:t>
      </w:r>
      <w:r w:rsidR="001E284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C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est à Paris </w:t>
      </w:r>
      <w:r w:rsidR="000B259A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aujourd’hui 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qu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on</w:t>
      </w:r>
      <w:r w:rsidR="006029ED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t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prit part à la signature de l</w:t>
      </w:r>
      <w:r w:rsidR="00D876DE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eur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toute première 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entente</w:t>
      </w:r>
      <w:r w:rsidR="00D876DE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,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</w:t>
      </w:r>
      <w:r w:rsidR="00D876DE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Monsieur Benoît Bonaimé, </w:t>
      </w:r>
      <w:r w:rsidR="00B438FB" w:rsidRPr="0067699F">
        <w:rPr>
          <w:rFonts w:ascii="Calibri" w:hAnsi="Calibri" w:cs="Calibri"/>
          <w:b w:val="0"/>
          <w:bCs/>
          <w:sz w:val="22"/>
          <w:szCs w:val="22"/>
        </w:rPr>
        <w:t>d</w:t>
      </w:r>
      <w:r w:rsidR="00D876DE" w:rsidRPr="0067699F">
        <w:rPr>
          <w:rFonts w:ascii="Calibri" w:hAnsi="Calibri" w:cs="Calibri"/>
          <w:b w:val="0"/>
          <w:bCs/>
          <w:sz w:val="22"/>
          <w:szCs w:val="22"/>
        </w:rPr>
        <w:t>irecteur général</w:t>
      </w:r>
      <w:r w:rsidR="00BF3D56">
        <w:rPr>
          <w:rFonts w:ascii="Calibri" w:hAnsi="Calibri" w:cs="Calibri"/>
          <w:b w:val="0"/>
          <w:bCs/>
          <w:sz w:val="22"/>
          <w:szCs w:val="22"/>
        </w:rPr>
        <w:t xml:space="preserve"> de la Direction général</w:t>
      </w:r>
      <w:r w:rsidR="00C6030F">
        <w:rPr>
          <w:rFonts w:ascii="Calibri" w:hAnsi="Calibri" w:cs="Calibri"/>
          <w:b w:val="0"/>
          <w:bCs/>
          <w:sz w:val="22"/>
          <w:szCs w:val="22"/>
        </w:rPr>
        <w:t>e</w:t>
      </w:r>
      <w:r w:rsidR="00D876DE" w:rsidRPr="0067699F">
        <w:rPr>
          <w:rFonts w:ascii="Calibri" w:hAnsi="Calibri" w:cs="Calibri"/>
          <w:b w:val="0"/>
          <w:bCs/>
          <w:sz w:val="22"/>
          <w:szCs w:val="22"/>
        </w:rPr>
        <w:t xml:space="preserve"> de l</w:t>
      </w:r>
      <w:r w:rsidR="00390D47" w:rsidRPr="0067699F">
        <w:rPr>
          <w:rFonts w:ascii="Calibri" w:hAnsi="Calibri" w:cs="Calibri"/>
          <w:b w:val="0"/>
          <w:bCs/>
          <w:sz w:val="22"/>
          <w:szCs w:val="22"/>
        </w:rPr>
        <w:t>’</w:t>
      </w:r>
      <w:r w:rsidR="00D876DE" w:rsidRPr="0067699F">
        <w:rPr>
          <w:rFonts w:ascii="Calibri" w:hAnsi="Calibri" w:cs="Calibri"/>
          <w:b w:val="0"/>
          <w:bCs/>
          <w:sz w:val="22"/>
          <w:szCs w:val="22"/>
        </w:rPr>
        <w:t xml:space="preserve">Enseignement et de la Recherche </w:t>
      </w:r>
      <w:r w:rsidR="00BF3D56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(DGER) </w:t>
      </w:r>
      <w:r w:rsidR="00D876DE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au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ministère de l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Agriculture et de la Souveraineté alimentaire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de la République française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et </w:t>
      </w:r>
      <w:r w:rsidR="00D876DE" w:rsidRPr="0067699F">
        <w:rPr>
          <w:rFonts w:ascii="Calibri" w:hAnsi="Calibri" w:cs="Calibri"/>
          <w:b w:val="0"/>
          <w:bCs/>
          <w:sz w:val="22"/>
          <w:szCs w:val="22"/>
        </w:rPr>
        <w:t>Madame Aisha Issa, directrice générale</w:t>
      </w:r>
      <w:r w:rsidR="00D876DE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de 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l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I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nstitut de technologie agroalimentaire du Québec</w:t>
      </w:r>
      <w:r w:rsidR="00D34EE2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(ITAQ)</w:t>
      </w:r>
      <w:r w:rsidR="00D876DE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.</w:t>
      </w:r>
      <w:r w:rsidR="00E8728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</w:t>
      </w:r>
    </w:p>
    <w:p w14:paraId="125E3452" w14:textId="77777777" w:rsidR="0055158B" w:rsidRDefault="0055158B" w:rsidP="00D6592D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41F6487B" w14:textId="50A2CE0E" w:rsidR="00D6592D" w:rsidRPr="0067699F" w:rsidRDefault="00BF3D56" w:rsidP="00D6592D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D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ans l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esprit des bonnes relations qui unissent la France et le Québec</w:t>
      </w:r>
      <w:r w:rsidR="00D34EE2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,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les deux organisations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souhaitent </w:t>
      </w:r>
      <w:r w:rsidR="00D34EE2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ainsi 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renforcer leurs échanges et coopérer dans les domaines d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intérêt commun afin 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de 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favoriser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, entre autres,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la mobilité des étudiantes et étudiants 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ainsi que</w:t>
      </w:r>
      <w:r w:rsidR="00D6592D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du personnel. 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Avec cette entente</w:t>
      </w:r>
      <w:r w:rsidR="00C6030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-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cadre, c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est tout l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enseignement supérieur du Québec qui </w:t>
      </w:r>
      <w:r w:rsidR="00CC1AB4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y 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gagne grâce au soutien et au travail des équipes de l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ITAQ.</w:t>
      </w:r>
    </w:p>
    <w:p w14:paraId="02EB378F" w14:textId="77777777" w:rsidR="00E8728A" w:rsidRPr="0067699F" w:rsidRDefault="00E8728A" w:rsidP="00474C1E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7ABCCB02" w14:textId="4588CA0B" w:rsidR="008E5345" w:rsidRPr="0067699F" w:rsidRDefault="00BF3D56" w:rsidP="008E5345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L</w:t>
      </w:r>
      <w:r w:rsidR="00F4469C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a DGER met en œuvre la politique 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française </w:t>
      </w:r>
      <w:r w:rsidR="00F4469C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en matière d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F4469C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enseignement agricole et de formation continue et participe à la définition et à l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F4469C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animation de la politique en matière de recherche agronomique, biotechnologique et vétérinaire.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De plus, cette dernière est responsable de près de 1200 maisons d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enseignement et 35 ateliers technologiques et centres équestres. </w:t>
      </w:r>
      <w:r w:rsidR="006B4AA5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Ceux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-ci trouveront </w:t>
      </w:r>
      <w:r w:rsidR="006B4AA5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donc 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en l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ITAQ</w:t>
      </w:r>
      <w:r w:rsidR="00CC1AB4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,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le partenaire québécois pour appuyer les efforts en vue de la</w:t>
      </w:r>
      <w:r w:rsidR="000B259A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transition agroécologique dans les établissements d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enseignement agricole et agroalimentaire, afin d</w:t>
      </w:r>
      <w:r w:rsidR="00390D47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="008E5345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être un modèle pour les acteurs du milieu et favoriser un enrichissement mutuel. </w:t>
      </w:r>
    </w:p>
    <w:p w14:paraId="6A05A809" w14:textId="77777777" w:rsidR="0014266A" w:rsidRPr="0067699F" w:rsidRDefault="0014266A" w:rsidP="0014266A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07B52736" w14:textId="77777777" w:rsidR="0014266A" w:rsidRPr="0014266A" w:rsidRDefault="00D34EE2" w:rsidP="0014266A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Par ailleurs</w:t>
      </w:r>
      <w:r w:rsidR="000B259A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,</w:t>
      </w:r>
      <w:r w:rsidR="0014266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accompagnés de la Délégation</w:t>
      </w:r>
      <w:r w:rsidR="000844A3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générale</w:t>
      </w:r>
      <w:r w:rsidR="0014266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du Québec à Paris ainsi que des membres de l’Office franco-québécois pour la jeunesse, la directrice générale et des membres de la direction de l’ITAQ profiteront de leur présence en France pour </w:t>
      </w:r>
      <w:r w:rsidR="00235578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rencontrer une dizaine de maison</w:t>
      </w:r>
      <w:r w:rsidR="000B259A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s</w:t>
      </w:r>
      <w:r w:rsidR="00235578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d’enseignement dans</w:t>
      </w:r>
      <w:r w:rsidR="0014266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divers départements afin d</w:t>
      </w:r>
      <w:r w:rsidR="00235578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’initier des</w:t>
      </w:r>
      <w:r w:rsidR="000844A3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</w:t>
      </w:r>
      <w:r w:rsidR="0014266A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partenariat</w:t>
      </w:r>
      <w:r w:rsidR="00235578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s spécifiques</w:t>
      </w:r>
      <w:r w:rsidR="0014266A" w:rsidRPr="00B438FB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ainsi qu</w:t>
      </w:r>
      <w:r w:rsidR="00235578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 des projets de</w:t>
      </w:r>
      <w:r w:rsidR="0014266A" w:rsidRPr="00B438FB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bi-diplomation entre 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ces dernières</w:t>
      </w:r>
      <w:r w:rsidR="00BD3444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et l’Institut</w:t>
      </w:r>
      <w:r w:rsidR="0014266A" w:rsidRPr="00B438FB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.</w:t>
      </w:r>
      <w:r w:rsidR="0014266A" w:rsidRPr="0014266A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Les résultats de ces visites seront communiqués au retour.</w:t>
      </w:r>
    </w:p>
    <w:p w14:paraId="5A39BBE3" w14:textId="77777777" w:rsidR="0014266A" w:rsidRDefault="0014266A" w:rsidP="00857E42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41C8F396" w14:textId="77777777" w:rsidR="0014266A" w:rsidRDefault="0014266A" w:rsidP="00857E42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2AD8B10D" w14:textId="77777777" w:rsidR="00AE39C4" w:rsidRPr="00AE39C4" w:rsidRDefault="00AE39C4" w:rsidP="00AE39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E39C4">
        <w:rPr>
          <w:rFonts w:ascii="Calibri" w:hAnsi="Calibri" w:cs="Calibri"/>
          <w:b/>
          <w:bCs/>
          <w:sz w:val="22"/>
          <w:szCs w:val="22"/>
        </w:rPr>
        <w:t>Citations</w:t>
      </w:r>
    </w:p>
    <w:p w14:paraId="72A3D3EC" w14:textId="77777777" w:rsidR="00AE39C4" w:rsidRPr="00AE39C4" w:rsidRDefault="00AE39C4" w:rsidP="00AE39C4">
      <w:pPr>
        <w:jc w:val="both"/>
        <w:rPr>
          <w:rFonts w:ascii="Calibri" w:hAnsi="Calibri" w:cs="Calibri"/>
          <w:sz w:val="22"/>
          <w:szCs w:val="22"/>
        </w:rPr>
      </w:pPr>
    </w:p>
    <w:p w14:paraId="0E27B00A" w14:textId="69FDC881" w:rsidR="00235853" w:rsidRDefault="00235853" w:rsidP="00AE39C4">
      <w:pPr>
        <w:jc w:val="both"/>
        <w:rPr>
          <w:rFonts w:ascii="Calibri" w:hAnsi="Calibri" w:cs="Calibri"/>
          <w:sz w:val="22"/>
          <w:szCs w:val="22"/>
        </w:rPr>
      </w:pPr>
      <w:r w:rsidRPr="008133EA">
        <w:rPr>
          <w:rFonts w:ascii="Calibri" w:hAnsi="Calibri" w:cs="Calibri"/>
          <w:sz w:val="22"/>
          <w:szCs w:val="22"/>
        </w:rPr>
        <w:t>« </w:t>
      </w:r>
      <w:r w:rsidR="00746F34" w:rsidRPr="0F0BE442">
        <w:rPr>
          <w:rFonts w:ascii="Calibri" w:hAnsi="Calibri" w:cs="Calibri"/>
          <w:sz w:val="22"/>
          <w:szCs w:val="22"/>
        </w:rPr>
        <w:t xml:space="preserve">Lors de l’adoption </w:t>
      </w:r>
      <w:r w:rsidR="00682AC4">
        <w:rPr>
          <w:rFonts w:ascii="Calibri" w:hAnsi="Calibri" w:cs="Calibri"/>
          <w:sz w:val="22"/>
          <w:szCs w:val="22"/>
        </w:rPr>
        <w:t>du projet de</w:t>
      </w:r>
      <w:r w:rsidR="00C6030F">
        <w:rPr>
          <w:rFonts w:ascii="Calibri" w:hAnsi="Calibri" w:cs="Calibri"/>
          <w:sz w:val="22"/>
          <w:szCs w:val="22"/>
        </w:rPr>
        <w:t xml:space="preserve"> </w:t>
      </w:r>
      <w:r w:rsidR="00746F34" w:rsidRPr="0F0BE442">
        <w:rPr>
          <w:rFonts w:ascii="Calibri" w:hAnsi="Calibri" w:cs="Calibri"/>
          <w:sz w:val="22"/>
          <w:szCs w:val="22"/>
        </w:rPr>
        <w:t>loi</w:t>
      </w:r>
      <w:r w:rsidR="008E2EFD">
        <w:rPr>
          <w:rFonts w:ascii="Calibri" w:hAnsi="Calibri" w:cs="Calibri"/>
          <w:sz w:val="22"/>
          <w:szCs w:val="22"/>
        </w:rPr>
        <w:t> </w:t>
      </w:r>
      <w:r w:rsidR="00AC7BBA">
        <w:rPr>
          <w:rFonts w:ascii="Calibri" w:hAnsi="Calibri" w:cs="Calibri"/>
          <w:sz w:val="22"/>
          <w:szCs w:val="22"/>
        </w:rPr>
        <w:t>n</w:t>
      </w:r>
      <w:r w:rsidR="00AC7BBA" w:rsidRPr="008133EA">
        <w:rPr>
          <w:rFonts w:ascii="Calibri" w:hAnsi="Calibri" w:cs="Calibri"/>
          <w:sz w:val="22"/>
          <w:szCs w:val="22"/>
          <w:vertAlign w:val="superscript"/>
        </w:rPr>
        <w:t>o</w:t>
      </w:r>
      <w:r w:rsidR="00AC7BBA">
        <w:rPr>
          <w:rFonts w:ascii="Calibri" w:hAnsi="Calibri" w:cs="Calibri"/>
          <w:sz w:val="22"/>
          <w:szCs w:val="22"/>
        </w:rPr>
        <w:t> </w:t>
      </w:r>
      <w:r w:rsidR="00746F34" w:rsidRPr="0F0BE442">
        <w:rPr>
          <w:rFonts w:ascii="Calibri" w:hAnsi="Calibri" w:cs="Calibri"/>
          <w:sz w:val="22"/>
          <w:szCs w:val="22"/>
        </w:rPr>
        <w:t>77 sur la création de l’ITAQ, notre gouvernement a inscrit expressément le domaine</w:t>
      </w:r>
      <w:r w:rsidR="1194456A" w:rsidRPr="0F0BE442">
        <w:rPr>
          <w:rFonts w:ascii="Calibri" w:hAnsi="Calibri" w:cs="Calibri"/>
          <w:sz w:val="22"/>
          <w:szCs w:val="22"/>
        </w:rPr>
        <w:t xml:space="preserve"> de</w:t>
      </w:r>
      <w:r w:rsidR="00746F34" w:rsidRPr="0F0BE442">
        <w:rPr>
          <w:rFonts w:ascii="Calibri" w:hAnsi="Calibri" w:cs="Calibri"/>
          <w:sz w:val="22"/>
          <w:szCs w:val="22"/>
        </w:rPr>
        <w:t xml:space="preserve"> l’agroenvironnement dans la mission de la maison d’enseignement. </w:t>
      </w:r>
      <w:r w:rsidRPr="008133EA">
        <w:rPr>
          <w:rFonts w:ascii="Calibri" w:hAnsi="Calibri" w:cs="Calibri"/>
          <w:sz w:val="22"/>
          <w:szCs w:val="22"/>
        </w:rPr>
        <w:t>Il n’y a pas de doute que le virage vers une agriculture durable doit s’accélérer</w:t>
      </w:r>
      <w:r w:rsidR="00775FEB">
        <w:rPr>
          <w:rFonts w:ascii="Calibri" w:hAnsi="Calibri" w:cs="Calibri"/>
          <w:sz w:val="22"/>
          <w:szCs w:val="22"/>
        </w:rPr>
        <w:t>,</w:t>
      </w:r>
      <w:r w:rsidRPr="008133EA">
        <w:rPr>
          <w:rFonts w:ascii="Calibri" w:hAnsi="Calibri" w:cs="Calibri"/>
          <w:sz w:val="22"/>
          <w:szCs w:val="22"/>
        </w:rPr>
        <w:t xml:space="preserve"> et la formation est une des clés pour y arriver. Cette entente entre le ministère de l’Agriculture et de la </w:t>
      </w:r>
      <w:r w:rsidR="0055158B">
        <w:rPr>
          <w:rFonts w:ascii="Calibri" w:hAnsi="Calibri" w:cs="Calibri"/>
          <w:sz w:val="22"/>
          <w:szCs w:val="22"/>
        </w:rPr>
        <w:t>S</w:t>
      </w:r>
      <w:r w:rsidRPr="008133EA">
        <w:rPr>
          <w:rFonts w:ascii="Calibri" w:hAnsi="Calibri" w:cs="Calibri"/>
          <w:sz w:val="22"/>
          <w:szCs w:val="22"/>
        </w:rPr>
        <w:t>ouveraineté alimentaire de la</w:t>
      </w:r>
      <w:r w:rsidR="0055158B">
        <w:rPr>
          <w:rFonts w:ascii="Calibri" w:hAnsi="Calibri" w:cs="Calibri"/>
          <w:sz w:val="22"/>
          <w:szCs w:val="22"/>
        </w:rPr>
        <w:t xml:space="preserve"> République française</w:t>
      </w:r>
      <w:r w:rsidRPr="008133EA">
        <w:rPr>
          <w:rFonts w:ascii="Calibri" w:hAnsi="Calibri" w:cs="Calibri"/>
          <w:sz w:val="22"/>
          <w:szCs w:val="22"/>
        </w:rPr>
        <w:t xml:space="preserve"> et l’ITAQ permettra aux étudiants d’approfondir leur</w:t>
      </w:r>
      <w:r w:rsidR="65B3D7E1" w:rsidRPr="0F0BE442">
        <w:rPr>
          <w:rFonts w:ascii="Calibri" w:hAnsi="Calibri" w:cs="Calibri"/>
          <w:sz w:val="22"/>
          <w:szCs w:val="22"/>
        </w:rPr>
        <w:t>s</w:t>
      </w:r>
      <w:r w:rsidRPr="008133EA">
        <w:rPr>
          <w:rFonts w:ascii="Calibri" w:hAnsi="Calibri" w:cs="Calibri"/>
          <w:sz w:val="22"/>
          <w:szCs w:val="22"/>
        </w:rPr>
        <w:t xml:space="preserve"> connaissance</w:t>
      </w:r>
      <w:r w:rsidR="56D8AE61" w:rsidRPr="0F0BE442">
        <w:rPr>
          <w:rFonts w:ascii="Calibri" w:hAnsi="Calibri" w:cs="Calibri"/>
          <w:sz w:val="22"/>
          <w:szCs w:val="22"/>
        </w:rPr>
        <w:t>s</w:t>
      </w:r>
      <w:r w:rsidRPr="008133EA">
        <w:rPr>
          <w:rFonts w:ascii="Calibri" w:hAnsi="Calibri" w:cs="Calibri"/>
          <w:sz w:val="22"/>
          <w:szCs w:val="22"/>
        </w:rPr>
        <w:t xml:space="preserve"> sur les défis que représente</w:t>
      </w:r>
      <w:r w:rsidR="00C6030F">
        <w:rPr>
          <w:rFonts w:ascii="Calibri" w:hAnsi="Calibri" w:cs="Calibri"/>
          <w:sz w:val="22"/>
          <w:szCs w:val="22"/>
        </w:rPr>
        <w:t>nt</w:t>
      </w:r>
      <w:r w:rsidRPr="008133EA">
        <w:rPr>
          <w:rFonts w:ascii="Calibri" w:hAnsi="Calibri" w:cs="Calibri"/>
          <w:sz w:val="22"/>
          <w:szCs w:val="22"/>
        </w:rPr>
        <w:t xml:space="preserve"> la réduction des émissions de gaz à effet de serre, l’adaptation aux changements climatiques</w:t>
      </w:r>
      <w:r w:rsidR="00074D51">
        <w:rPr>
          <w:rFonts w:ascii="Calibri" w:hAnsi="Calibri" w:cs="Calibri"/>
          <w:sz w:val="22"/>
          <w:szCs w:val="22"/>
        </w:rPr>
        <w:t xml:space="preserve"> ainsi que</w:t>
      </w:r>
      <w:r w:rsidRPr="008133EA">
        <w:rPr>
          <w:rFonts w:ascii="Calibri" w:hAnsi="Calibri" w:cs="Calibri"/>
          <w:sz w:val="22"/>
          <w:szCs w:val="22"/>
        </w:rPr>
        <w:t xml:space="preserve"> l’appropriation des technologies numériques soutenant l’innovation et la valeur agroéconomique des pratiques mises en œuvre.</w:t>
      </w:r>
      <w:r w:rsidR="0055158B">
        <w:rPr>
          <w:rFonts w:ascii="Calibri" w:hAnsi="Calibri" w:cs="Calibri"/>
          <w:sz w:val="22"/>
          <w:szCs w:val="22"/>
        </w:rPr>
        <w:t> </w:t>
      </w:r>
      <w:r w:rsidRPr="008133EA">
        <w:rPr>
          <w:rFonts w:ascii="Calibri" w:hAnsi="Calibri" w:cs="Calibri"/>
          <w:sz w:val="22"/>
          <w:szCs w:val="22"/>
        </w:rPr>
        <w:t>»</w:t>
      </w:r>
    </w:p>
    <w:p w14:paraId="60061E4C" w14:textId="77777777" w:rsidR="00AE39C4" w:rsidRPr="00AE39C4" w:rsidRDefault="00AE39C4" w:rsidP="00AE39C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82107AC" w14:textId="77777777" w:rsidR="00AE39C4" w:rsidRPr="00AE39C4" w:rsidRDefault="00AE39C4" w:rsidP="00AE39C4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E39C4">
        <w:rPr>
          <w:rFonts w:ascii="Calibri" w:hAnsi="Calibri" w:cs="Calibri"/>
          <w:i/>
          <w:iCs/>
          <w:sz w:val="22"/>
          <w:szCs w:val="22"/>
        </w:rPr>
        <w:t>André Lamontagne, ministre de l</w:t>
      </w:r>
      <w:r w:rsidR="00390D47">
        <w:rPr>
          <w:rFonts w:ascii="Calibri" w:hAnsi="Calibri" w:cs="Calibri"/>
          <w:i/>
          <w:iCs/>
          <w:sz w:val="22"/>
          <w:szCs w:val="22"/>
        </w:rPr>
        <w:t>’</w:t>
      </w:r>
      <w:r w:rsidRPr="00AE39C4">
        <w:rPr>
          <w:rFonts w:ascii="Calibri" w:hAnsi="Calibri" w:cs="Calibri"/>
          <w:i/>
          <w:iCs/>
          <w:sz w:val="22"/>
          <w:szCs w:val="22"/>
        </w:rPr>
        <w:t>Agriculture, des Pêcheries et de l</w:t>
      </w:r>
      <w:r w:rsidR="00390D47">
        <w:rPr>
          <w:rFonts w:ascii="Calibri" w:hAnsi="Calibri" w:cs="Calibri"/>
          <w:i/>
          <w:iCs/>
          <w:sz w:val="22"/>
          <w:szCs w:val="22"/>
        </w:rPr>
        <w:t>’</w:t>
      </w:r>
      <w:r w:rsidRPr="00AE39C4">
        <w:rPr>
          <w:rFonts w:ascii="Calibri" w:hAnsi="Calibri" w:cs="Calibri"/>
          <w:i/>
          <w:iCs/>
          <w:sz w:val="22"/>
          <w:szCs w:val="22"/>
        </w:rPr>
        <w:t>Alimentation et ministre responsable de la région du Centre-du-Québec</w:t>
      </w:r>
    </w:p>
    <w:p w14:paraId="44EAFD9C" w14:textId="77777777" w:rsidR="00BD3444" w:rsidRDefault="00BD3444" w:rsidP="00BD3444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4B94D5A5" w14:textId="77777777" w:rsidR="00BD3444" w:rsidRDefault="00BD3444" w:rsidP="00BD3444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2BE9B4FE" w14:textId="77777777" w:rsidR="00BD3444" w:rsidRPr="00ED2DF7" w:rsidRDefault="00935BF7" w:rsidP="008133EA">
      <w:pPr>
        <w:jc w:val="both"/>
        <w:rPr>
          <w:rStyle w:val="titrefloat"/>
          <w:rFonts w:ascii="Calibri" w:hAnsi="Calibri" w:cs="Calibri"/>
          <w:bCs/>
          <w:sz w:val="22"/>
          <w:szCs w:val="22"/>
          <w:lang w:val="fr-FR"/>
        </w:rPr>
      </w:pPr>
      <w:r w:rsidRPr="008133EA">
        <w:rPr>
          <w:rStyle w:val="titrefloat"/>
          <w:rFonts w:ascii="Calibri" w:hAnsi="Calibri" w:cs="Calibri"/>
          <w:bCs/>
          <w:sz w:val="22"/>
          <w:szCs w:val="22"/>
          <w:lang w:val="fr-FR"/>
        </w:rPr>
        <w:t>« </w:t>
      </w:r>
      <w:r w:rsidR="00141A18" w:rsidRPr="008133EA">
        <w:rPr>
          <w:rStyle w:val="titrefloat"/>
          <w:rFonts w:ascii="Calibri" w:hAnsi="Calibri" w:cs="Calibri"/>
          <w:bCs/>
          <w:sz w:val="22"/>
          <w:szCs w:val="22"/>
          <w:lang w:val="fr-FR"/>
        </w:rPr>
        <w:t>Ce nouveau partenariat franco-québécois enrichit la relation directe et privilégiée développée par nos deux nations depuis plus de six décennies. Il s’inscrit en droite ligne des priorités de nos gouvernements : innover pour relever nos défis communs, particulièrement celui des changements climatiques</w:t>
      </w:r>
      <w:r w:rsidR="00036AD5" w:rsidRPr="008133EA">
        <w:rPr>
          <w:rStyle w:val="titrefloat"/>
          <w:rFonts w:ascii="Calibri" w:hAnsi="Calibri" w:cs="Calibri"/>
          <w:bCs/>
          <w:sz w:val="22"/>
          <w:szCs w:val="22"/>
          <w:lang w:val="fr-FR"/>
        </w:rPr>
        <w:t xml:space="preserve">. Nos établissements d’enseignement supérieur et de recherche sont engagés dans la recherche des meilleures pratiques favorisant une agriculture durable. </w:t>
      </w:r>
      <w:r w:rsidRPr="008133EA">
        <w:rPr>
          <w:rStyle w:val="titrefloat"/>
          <w:rFonts w:ascii="Calibri" w:hAnsi="Calibri" w:cs="Calibri"/>
          <w:bCs/>
          <w:sz w:val="22"/>
          <w:szCs w:val="22"/>
          <w:lang w:val="fr-FR"/>
        </w:rPr>
        <w:t>»</w:t>
      </w:r>
      <w:r w:rsidR="00036AD5" w:rsidRPr="00036AD5">
        <w:t xml:space="preserve"> </w:t>
      </w:r>
    </w:p>
    <w:p w14:paraId="3DEEC669" w14:textId="77777777" w:rsidR="00935BF7" w:rsidRDefault="00935BF7" w:rsidP="00BD3444">
      <w:pPr>
        <w:pStyle w:val="Titre"/>
        <w:jc w:val="both"/>
        <w:rPr>
          <w:rStyle w:val="titrefloat"/>
          <w:rFonts w:ascii="Calibri" w:hAnsi="Calibri" w:cs="Calibri"/>
          <w:b w:val="0"/>
          <w:bCs/>
          <w:i/>
          <w:iCs/>
          <w:sz w:val="22"/>
          <w:szCs w:val="22"/>
          <w:lang w:val="fr-FR"/>
        </w:rPr>
      </w:pPr>
    </w:p>
    <w:p w14:paraId="143A84D0" w14:textId="77777777" w:rsidR="00BD3444" w:rsidRPr="00AE39C4" w:rsidRDefault="00BD3444" w:rsidP="00BD3444">
      <w:pPr>
        <w:pStyle w:val="Titre"/>
        <w:jc w:val="both"/>
        <w:rPr>
          <w:rStyle w:val="titrefloat"/>
          <w:rFonts w:ascii="Calibri" w:hAnsi="Calibri" w:cs="Calibri"/>
          <w:b w:val="0"/>
          <w:bCs/>
          <w:i/>
          <w:iCs/>
          <w:sz w:val="22"/>
          <w:szCs w:val="22"/>
          <w:lang w:val="fr-FR"/>
        </w:rPr>
      </w:pPr>
      <w:r w:rsidRPr="00AE39C4">
        <w:rPr>
          <w:rStyle w:val="titrefloat"/>
          <w:rFonts w:ascii="Calibri" w:hAnsi="Calibri" w:cs="Calibri"/>
          <w:b w:val="0"/>
          <w:bCs/>
          <w:i/>
          <w:iCs/>
          <w:sz w:val="22"/>
          <w:szCs w:val="22"/>
          <w:lang w:val="fr-FR"/>
        </w:rPr>
        <w:t xml:space="preserve">Michèle Boisvert, déléguée générale du Québec à Paris </w:t>
      </w:r>
    </w:p>
    <w:p w14:paraId="3656B9AB" w14:textId="77777777" w:rsidR="00857E42" w:rsidRDefault="00857E42" w:rsidP="00857E42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</w:rPr>
      </w:pPr>
    </w:p>
    <w:p w14:paraId="45FB0818" w14:textId="77777777" w:rsidR="00BD3444" w:rsidRDefault="00BD3444" w:rsidP="00857E42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</w:rPr>
      </w:pPr>
    </w:p>
    <w:p w14:paraId="47D5FA84" w14:textId="42794648" w:rsidR="0014266A" w:rsidRDefault="0014266A" w:rsidP="0014266A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  <w:r>
        <w:rPr>
          <w:rStyle w:val="titrefloat"/>
          <w:rFonts w:ascii="Calibri" w:hAnsi="Calibri" w:cs="Calibri"/>
          <w:b w:val="0"/>
          <w:bCs/>
          <w:sz w:val="22"/>
          <w:szCs w:val="22"/>
        </w:rPr>
        <w:t>« 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Cette entente </w:t>
      </w:r>
      <w:r w:rsidR="00D34EE2" w:rsidRPr="0067699F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est l’aboutissement d’une démarche initiée à l’automne 2021</w:t>
      </w:r>
      <w:r w:rsidR="00D34EE2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et 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illustre de façon </w:t>
      </w:r>
      <w:r w:rsidRPr="00B438FB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cohérente une série de réalisations qui visent la matérialisation de la transition agroécologique de l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Pr="00B438FB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enseignement supérieur du secteur agroalimentaire.</w:t>
      </w:r>
      <w:r w:rsidRPr="00AE39C4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Elle</w:t>
      </w:r>
      <w:r w:rsidRPr="00F45053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confirme ainsi 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notre</w:t>
      </w:r>
      <w:r w:rsidRPr="00F45053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 xml:space="preserve"> vision qui apporte des réponses territorialisées, offre des solutions aux enjeux climatiques et s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’</w:t>
      </w:r>
      <w:r w:rsidRPr="00F45053"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ouvre à des partages de pratiques durables.</w:t>
      </w:r>
      <w:r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  <w:t> »</w:t>
      </w:r>
    </w:p>
    <w:p w14:paraId="049F31CB" w14:textId="77777777" w:rsidR="0014266A" w:rsidRDefault="0014266A" w:rsidP="00857E42">
      <w:pPr>
        <w:pStyle w:val="Titre"/>
        <w:jc w:val="both"/>
        <w:rPr>
          <w:rStyle w:val="titrefloat"/>
          <w:rFonts w:ascii="Calibri" w:hAnsi="Calibri" w:cs="Calibri"/>
          <w:b w:val="0"/>
          <w:bCs/>
          <w:i/>
          <w:iCs/>
          <w:sz w:val="22"/>
          <w:szCs w:val="22"/>
          <w:lang w:val="fr-FR"/>
        </w:rPr>
      </w:pPr>
    </w:p>
    <w:p w14:paraId="60D22FA2" w14:textId="77777777" w:rsidR="0014266A" w:rsidRDefault="0014266A" w:rsidP="00857E42">
      <w:pPr>
        <w:pStyle w:val="Titre"/>
        <w:jc w:val="both"/>
        <w:rPr>
          <w:rStyle w:val="titrefloat"/>
          <w:rFonts w:ascii="Calibri" w:hAnsi="Calibri" w:cs="Calibri"/>
          <w:b w:val="0"/>
          <w:bCs/>
          <w:i/>
          <w:iCs/>
          <w:sz w:val="22"/>
          <w:szCs w:val="22"/>
          <w:lang w:val="fr-FR"/>
        </w:rPr>
      </w:pPr>
      <w:r>
        <w:rPr>
          <w:rStyle w:val="titrefloat"/>
          <w:rFonts w:ascii="Calibri" w:hAnsi="Calibri" w:cs="Calibri"/>
          <w:b w:val="0"/>
          <w:bCs/>
          <w:i/>
          <w:iCs/>
          <w:sz w:val="22"/>
          <w:szCs w:val="22"/>
          <w:lang w:val="fr-FR"/>
        </w:rPr>
        <w:t>Aisha Issa, directrice générale de l’Institut de technologie agroalimentaire du Québec</w:t>
      </w:r>
    </w:p>
    <w:p w14:paraId="53128261" w14:textId="77777777" w:rsidR="00424444" w:rsidRDefault="00424444" w:rsidP="00474C1E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62486C05" w14:textId="77777777" w:rsidR="00390D47" w:rsidRDefault="00390D47" w:rsidP="00474C1E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43E1C5D0" w14:textId="77777777" w:rsidR="00473071" w:rsidRDefault="00473071" w:rsidP="00473071">
      <w:pPr>
        <w:pStyle w:val="Titr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À propos de l</w:t>
      </w:r>
      <w:r w:rsidR="00390D4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Institut de technologie agroalimentaire du Québec</w:t>
      </w:r>
    </w:p>
    <w:p w14:paraId="0B9ED1A8" w14:textId="77777777" w:rsidR="008133EA" w:rsidRDefault="00A7187E" w:rsidP="0067699F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Riche d</w:t>
      </w:r>
      <w:r w:rsidR="00390D47">
        <w:rPr>
          <w:rFonts w:ascii="Calibri" w:hAnsi="Calibri" w:cs="Calibri"/>
          <w:bCs/>
          <w:sz w:val="22"/>
          <w:szCs w:val="22"/>
        </w:rPr>
        <w:t>’</w:t>
      </w:r>
      <w:r>
        <w:rPr>
          <w:rFonts w:ascii="Calibri" w:hAnsi="Calibri" w:cs="Calibri"/>
          <w:bCs/>
          <w:sz w:val="22"/>
          <w:szCs w:val="22"/>
        </w:rPr>
        <w:t>une longue histoire de plus de 60 ans, l</w:t>
      </w:r>
      <w:r w:rsidR="00390D47">
        <w:rPr>
          <w:rFonts w:ascii="Calibri" w:hAnsi="Calibri" w:cs="Calibri"/>
          <w:bCs/>
          <w:sz w:val="22"/>
          <w:szCs w:val="22"/>
        </w:rPr>
        <w:t>’</w:t>
      </w:r>
      <w:r>
        <w:rPr>
          <w:rFonts w:ascii="Calibri" w:hAnsi="Calibri" w:cs="Calibri"/>
          <w:bCs/>
          <w:sz w:val="22"/>
          <w:szCs w:val="22"/>
        </w:rPr>
        <w:t>ITAQ est l</w:t>
      </w:r>
      <w:r w:rsidR="00390D47">
        <w:rPr>
          <w:rFonts w:ascii="Calibri" w:hAnsi="Calibri" w:cs="Calibri"/>
          <w:bCs/>
          <w:sz w:val="22"/>
          <w:szCs w:val="22"/>
        </w:rPr>
        <w:t>’</w:t>
      </w:r>
      <w:r>
        <w:rPr>
          <w:rFonts w:ascii="Calibri" w:hAnsi="Calibri" w:cs="Calibri"/>
          <w:bCs/>
          <w:sz w:val="22"/>
          <w:szCs w:val="22"/>
        </w:rPr>
        <w:t xml:space="preserve">unique </w:t>
      </w:r>
      <w:r w:rsidR="00440970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nstitut spécialisé en agroalimentaire au Québec. Il se démarque par ses laboratoires-écoles, ses fermes</w:t>
      </w:r>
      <w:r w:rsidR="00440970">
        <w:rPr>
          <w:rFonts w:ascii="Calibri" w:hAnsi="Calibri" w:cs="Calibri"/>
          <w:bCs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 xml:space="preserve">écoles, </w:t>
      </w:r>
      <w:r w:rsidR="0067699F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>es grands animaux, ses usines-écoles (transformation laitière, boulangerie, carné et végétaux), en plus de ses programmes uniques et exclusif</w:t>
      </w:r>
      <w:r w:rsidR="00440970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>. L</w:t>
      </w:r>
      <w:r w:rsidR="00390D47">
        <w:rPr>
          <w:rFonts w:ascii="Calibri" w:hAnsi="Calibri" w:cs="Calibri"/>
          <w:bCs/>
          <w:sz w:val="22"/>
          <w:szCs w:val="22"/>
        </w:rPr>
        <w:t>’</w:t>
      </w:r>
      <w:r>
        <w:rPr>
          <w:rFonts w:ascii="Calibri" w:hAnsi="Calibri" w:cs="Calibri"/>
          <w:bCs/>
          <w:sz w:val="22"/>
          <w:szCs w:val="22"/>
        </w:rPr>
        <w:t xml:space="preserve">ITAQ est un acteur clé et est mandaté par le gouvernement </w:t>
      </w:r>
      <w:r w:rsidR="00CC1AB4">
        <w:rPr>
          <w:rFonts w:ascii="Calibri" w:hAnsi="Calibri" w:cs="Calibri"/>
          <w:bCs/>
          <w:sz w:val="22"/>
          <w:szCs w:val="22"/>
        </w:rPr>
        <w:t xml:space="preserve">du Québec </w:t>
      </w:r>
      <w:r>
        <w:rPr>
          <w:rFonts w:ascii="Calibri" w:hAnsi="Calibri" w:cs="Calibri"/>
          <w:bCs/>
          <w:sz w:val="22"/>
          <w:szCs w:val="22"/>
        </w:rPr>
        <w:t xml:space="preserve">pour la mise en œuvre du </w:t>
      </w:r>
      <w:r w:rsidR="0067699F">
        <w:rPr>
          <w:rFonts w:ascii="Calibri" w:hAnsi="Calibri" w:cs="Calibri"/>
          <w:bCs/>
          <w:sz w:val="22"/>
          <w:szCs w:val="22"/>
        </w:rPr>
        <w:t>parcours de</w:t>
      </w:r>
      <w:r>
        <w:rPr>
          <w:rFonts w:ascii="Calibri" w:hAnsi="Calibri" w:cs="Calibri"/>
          <w:bCs/>
          <w:sz w:val="22"/>
          <w:szCs w:val="22"/>
        </w:rPr>
        <w:t xml:space="preserve"> formation du </w:t>
      </w:r>
      <w:hyperlink r:id="rId10" w:history="1">
        <w:r>
          <w:rPr>
            <w:rStyle w:val="Lienhypertexte"/>
            <w:rFonts w:ascii="Calibri" w:hAnsi="Calibri" w:cs="Calibri"/>
            <w:bCs/>
            <w:color w:val="auto"/>
            <w:sz w:val="22"/>
            <w:szCs w:val="22"/>
          </w:rPr>
          <w:t>Plan d</w:t>
        </w:r>
        <w:r w:rsidR="00390D47">
          <w:rPr>
            <w:rStyle w:val="Lienhypertexte"/>
            <w:rFonts w:ascii="Calibri" w:hAnsi="Calibri" w:cs="Calibri"/>
            <w:bCs/>
            <w:color w:val="auto"/>
            <w:sz w:val="22"/>
            <w:szCs w:val="22"/>
          </w:rPr>
          <w:t>’</w:t>
        </w:r>
        <w:r>
          <w:rPr>
            <w:rStyle w:val="Lienhypertexte"/>
            <w:rFonts w:ascii="Calibri" w:hAnsi="Calibri" w:cs="Calibri"/>
            <w:bCs/>
            <w:color w:val="auto"/>
            <w:sz w:val="22"/>
            <w:szCs w:val="22"/>
          </w:rPr>
          <w:t>agriculture durable 2020-</w:t>
        </w:r>
        <w:r w:rsidR="0055158B">
          <w:rPr>
            <w:rStyle w:val="Lienhypertexte"/>
            <w:rFonts w:ascii="Calibri" w:hAnsi="Calibri" w:cs="Calibri"/>
            <w:bCs/>
            <w:color w:val="auto"/>
            <w:sz w:val="22"/>
            <w:szCs w:val="22"/>
          </w:rPr>
          <w:t>20</w:t>
        </w:r>
        <w:r>
          <w:rPr>
            <w:rStyle w:val="Lienhypertexte"/>
            <w:rFonts w:ascii="Calibri" w:hAnsi="Calibri" w:cs="Calibri"/>
            <w:bCs/>
            <w:color w:val="auto"/>
            <w:sz w:val="22"/>
            <w:szCs w:val="22"/>
          </w:rPr>
          <w:t>30</w:t>
        </w:r>
      </w:hyperlink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6943C1D0" w14:textId="77777777" w:rsidR="008133EA" w:rsidRDefault="008133EA" w:rsidP="0067699F">
      <w:pPr>
        <w:jc w:val="both"/>
        <w:rPr>
          <w:rFonts w:ascii="Calibri" w:hAnsi="Calibri" w:cs="Calibri"/>
          <w:bCs/>
          <w:sz w:val="22"/>
          <w:szCs w:val="22"/>
        </w:rPr>
      </w:pPr>
    </w:p>
    <w:p w14:paraId="367DBCA8" w14:textId="66DDE269" w:rsidR="00E33392" w:rsidRPr="0067699F" w:rsidRDefault="00E33392" w:rsidP="0067699F">
      <w:pPr>
        <w:jc w:val="both"/>
        <w:rPr>
          <w:rStyle w:val="titrefloat"/>
          <w:rFonts w:ascii="Calibri" w:hAnsi="Calibri" w:cs="Calibri"/>
          <w:sz w:val="22"/>
          <w:szCs w:val="22"/>
          <w:lang w:val="fr-FR"/>
        </w:rPr>
      </w:pPr>
      <w:r w:rsidRPr="0067699F">
        <w:rPr>
          <w:rStyle w:val="titrefloat"/>
          <w:rFonts w:ascii="Calibri" w:hAnsi="Calibri" w:cs="Calibri"/>
          <w:sz w:val="22"/>
          <w:szCs w:val="22"/>
          <w:lang w:val="fr-FR"/>
        </w:rPr>
        <w:t>Outre ce</w:t>
      </w:r>
      <w:r w:rsidR="0067699F">
        <w:rPr>
          <w:rStyle w:val="titrefloat"/>
          <w:rFonts w:ascii="Calibri" w:hAnsi="Calibri" w:cs="Calibri"/>
          <w:sz w:val="22"/>
          <w:szCs w:val="22"/>
          <w:lang w:val="fr-FR"/>
        </w:rPr>
        <w:t xml:space="preserve">tte entente avec </w:t>
      </w:r>
      <w:r w:rsidR="00BD3444">
        <w:rPr>
          <w:rStyle w:val="titrefloat"/>
          <w:rFonts w:ascii="Calibri" w:hAnsi="Calibri" w:cs="Calibri"/>
          <w:sz w:val="22"/>
          <w:szCs w:val="22"/>
          <w:lang w:val="fr-FR"/>
        </w:rPr>
        <w:t>la France,</w:t>
      </w:r>
      <w:r w:rsidR="0067699F">
        <w:rPr>
          <w:rStyle w:val="titrefloat"/>
          <w:rFonts w:ascii="Calibri" w:hAnsi="Calibri" w:cs="Calibri"/>
          <w:sz w:val="22"/>
          <w:szCs w:val="22"/>
          <w:lang w:val="fr-FR"/>
        </w:rPr>
        <w:t xml:space="preserve"> </w:t>
      </w:r>
      <w:r w:rsidRPr="0067699F">
        <w:rPr>
          <w:rStyle w:val="titrefloat"/>
          <w:rFonts w:ascii="Calibri" w:hAnsi="Calibri" w:cs="Calibri"/>
          <w:sz w:val="22"/>
          <w:szCs w:val="22"/>
          <w:lang w:val="fr-FR"/>
        </w:rPr>
        <w:t>piloté</w:t>
      </w:r>
      <w:r w:rsidR="00BD3444">
        <w:rPr>
          <w:rStyle w:val="titrefloat"/>
          <w:rFonts w:ascii="Calibri" w:hAnsi="Calibri" w:cs="Calibri"/>
          <w:sz w:val="22"/>
          <w:szCs w:val="22"/>
          <w:lang w:val="fr-FR"/>
        </w:rPr>
        <w:t>e</w:t>
      </w:r>
      <w:r w:rsidRPr="0067699F">
        <w:rPr>
          <w:rStyle w:val="titrefloat"/>
          <w:rFonts w:ascii="Calibri" w:hAnsi="Calibri" w:cs="Calibri"/>
          <w:sz w:val="22"/>
          <w:szCs w:val="22"/>
          <w:lang w:val="fr-FR"/>
        </w:rPr>
        <w:t xml:space="preserve"> par la direction générale de l’ITAQ, rappelons la mise en place au cours de la dernière année de deux directions, soit celle de </w:t>
      </w:r>
      <w:r w:rsidRPr="0067699F">
        <w:rPr>
          <w:rStyle w:val="titrefloat"/>
          <w:rFonts w:ascii="Calibri" w:hAnsi="Calibri" w:cs="Calibri"/>
          <w:i/>
          <w:iCs/>
          <w:sz w:val="22"/>
          <w:szCs w:val="22"/>
          <w:lang w:val="fr-FR"/>
        </w:rPr>
        <w:t>l’Expérience étudiante et de la mobilité</w:t>
      </w:r>
      <w:r w:rsidRPr="0067699F">
        <w:rPr>
          <w:rStyle w:val="titrefloat"/>
          <w:rFonts w:ascii="Calibri" w:hAnsi="Calibri" w:cs="Calibri"/>
          <w:sz w:val="22"/>
          <w:szCs w:val="22"/>
          <w:lang w:val="fr-FR"/>
        </w:rPr>
        <w:t xml:space="preserve"> ainsi que de celle des </w:t>
      </w:r>
      <w:r w:rsidRPr="0067699F">
        <w:rPr>
          <w:rStyle w:val="titrefloat"/>
          <w:rFonts w:ascii="Calibri" w:hAnsi="Calibri" w:cs="Calibri"/>
          <w:i/>
          <w:iCs/>
          <w:sz w:val="22"/>
          <w:szCs w:val="22"/>
          <w:lang w:val="fr-FR"/>
        </w:rPr>
        <w:t>Projets régénérateurs</w:t>
      </w:r>
      <w:r w:rsidRPr="0067699F">
        <w:rPr>
          <w:rStyle w:val="titrefloat"/>
          <w:rFonts w:ascii="Calibri" w:hAnsi="Calibri" w:cs="Calibri"/>
          <w:sz w:val="22"/>
          <w:szCs w:val="22"/>
          <w:lang w:val="fr-FR"/>
        </w:rPr>
        <w:t xml:space="preserve"> qui s’ajoute à une offre existante de formation continue en régie conventionnelle et biologique. </w:t>
      </w:r>
      <w:r w:rsidR="00BD3444">
        <w:rPr>
          <w:rStyle w:val="titrefloat"/>
          <w:rFonts w:ascii="Calibri" w:hAnsi="Calibri" w:cs="Calibri"/>
          <w:sz w:val="22"/>
          <w:szCs w:val="22"/>
          <w:lang w:val="fr-FR"/>
        </w:rPr>
        <w:t>Et d</w:t>
      </w:r>
      <w:r w:rsidRPr="0067699F">
        <w:rPr>
          <w:rStyle w:val="titrefloat"/>
          <w:rFonts w:ascii="Calibri" w:hAnsi="Calibri" w:cs="Calibri"/>
          <w:sz w:val="22"/>
          <w:szCs w:val="22"/>
          <w:lang w:val="fr-FR"/>
        </w:rPr>
        <w:t>ans le même ordre d’idée, les bourses</w:t>
      </w:r>
      <w:r w:rsidRPr="0067699F">
        <w:rPr>
          <w:rStyle w:val="titrefloat"/>
          <w:rFonts w:ascii="Calibri" w:hAnsi="Calibri" w:cs="Calibri"/>
          <w:i/>
          <w:iCs/>
          <w:sz w:val="22"/>
          <w:szCs w:val="22"/>
          <w:lang w:val="fr-FR"/>
        </w:rPr>
        <w:t xml:space="preserve"> </w:t>
      </w:r>
      <w:r w:rsidRPr="0067699F">
        <w:rPr>
          <w:rStyle w:val="titrefloat"/>
          <w:rFonts w:ascii="Calibri" w:hAnsi="Calibri" w:cs="Calibri"/>
          <w:sz w:val="22"/>
          <w:szCs w:val="22"/>
          <w:lang w:val="fr-FR"/>
        </w:rPr>
        <w:t>Agir pour le climat et la transition écologique (ACTE), lancées pour la rentrée 2023, viendront offrir un levier supplémentaire pour rendre attrayant un domaine essentiel à l’autonomie alimentaire, à la productivité économique et à la culture québécoise.</w:t>
      </w:r>
    </w:p>
    <w:p w14:paraId="4101652C" w14:textId="77777777" w:rsidR="00473071" w:rsidRDefault="00473071" w:rsidP="00B73F38">
      <w:pPr>
        <w:pStyle w:val="Titre"/>
        <w:jc w:val="both"/>
        <w:rPr>
          <w:rStyle w:val="titrefloat"/>
          <w:rFonts w:ascii="Calibri" w:hAnsi="Calibri" w:cs="Calibri"/>
          <w:b w:val="0"/>
          <w:bCs/>
          <w:sz w:val="22"/>
          <w:szCs w:val="22"/>
          <w:lang w:val="fr-FR"/>
        </w:rPr>
      </w:pPr>
    </w:p>
    <w:p w14:paraId="4BBBC98D" w14:textId="77777777" w:rsidR="00364FFE" w:rsidRDefault="00364FFE" w:rsidP="00475287">
      <w:pPr>
        <w:pStyle w:val="Titre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- 30 </w:t>
      </w:r>
      <w:r w:rsidR="00A0078B">
        <w:rPr>
          <w:rFonts w:ascii="Calibri" w:hAnsi="Calibri" w:cs="Calibri"/>
          <w:b w:val="0"/>
          <w:bCs/>
          <w:sz w:val="22"/>
          <w:szCs w:val="22"/>
        </w:rPr>
        <w:t>-</w:t>
      </w:r>
    </w:p>
    <w:p w14:paraId="4B99056E" w14:textId="77777777" w:rsidR="006218BA" w:rsidRDefault="006218BA" w:rsidP="00E96A0A">
      <w:pPr>
        <w:pStyle w:val="Titre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0B225E99" w14:textId="77777777" w:rsidR="001E3DF7" w:rsidRDefault="001E3DF7" w:rsidP="001E3DF7">
      <w:pPr>
        <w:ind w:left="1080" w:hanging="10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Pour information : </w:t>
      </w:r>
    </w:p>
    <w:p w14:paraId="5F3DA56C" w14:textId="77777777" w:rsidR="00162B9D" w:rsidRDefault="00473071" w:rsidP="00162B9D">
      <w:pPr>
        <w:tabs>
          <w:tab w:val="left" w:pos="1418"/>
          <w:tab w:val="left" w:pos="8222"/>
        </w:tabs>
        <w:ind w:left="1800" w:hanging="180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Caroline Nadeau</w:t>
      </w:r>
    </w:p>
    <w:p w14:paraId="7AAACED8" w14:textId="77777777" w:rsidR="00162B9D" w:rsidRDefault="00162B9D" w:rsidP="00162B9D">
      <w:pPr>
        <w:tabs>
          <w:tab w:val="left" w:pos="1418"/>
          <w:tab w:val="left" w:pos="8222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Conseillère en </w:t>
      </w:r>
      <w:r w:rsidR="00473071">
        <w:rPr>
          <w:rFonts w:ascii="Calibri" w:hAnsi="Calibri" w:cs="Calibri"/>
          <w:bCs/>
          <w:sz w:val="22"/>
          <w:szCs w:val="22"/>
        </w:rPr>
        <w:t>communications externes et relations publiques</w:t>
      </w:r>
    </w:p>
    <w:p w14:paraId="35E811E0" w14:textId="77777777" w:rsidR="00162B9D" w:rsidRDefault="00162B9D" w:rsidP="00162B9D">
      <w:pPr>
        <w:tabs>
          <w:tab w:val="left" w:pos="1418"/>
          <w:tab w:val="left" w:pos="8222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Institut de technologie agroalimentaire</w:t>
      </w:r>
      <w:r w:rsidR="00E87C2B">
        <w:rPr>
          <w:rFonts w:ascii="Calibri" w:hAnsi="Calibri" w:cs="Calibri"/>
          <w:bCs/>
          <w:sz w:val="22"/>
          <w:szCs w:val="22"/>
        </w:rPr>
        <w:t xml:space="preserve"> du Québec</w:t>
      </w:r>
    </w:p>
    <w:p w14:paraId="7F5B0778" w14:textId="77777777" w:rsidR="00E12325" w:rsidRDefault="00E12325" w:rsidP="00162B9D">
      <w:pPr>
        <w:tabs>
          <w:tab w:val="left" w:pos="1418"/>
          <w:tab w:val="left" w:pos="8222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Cell. : 450 513-2513</w:t>
      </w:r>
    </w:p>
    <w:p w14:paraId="0BCAE5AE" w14:textId="49BDEAFC" w:rsidR="00E12325" w:rsidRPr="008133EA" w:rsidRDefault="00000000">
      <w:pPr>
        <w:pStyle w:val="Titr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hyperlink r:id="rId11" w:history="1">
        <w:r w:rsidR="00473071" w:rsidRPr="008133EA">
          <w:rPr>
            <w:rStyle w:val="Lienhypertexte"/>
            <w:rFonts w:asciiTheme="minorHAnsi" w:hAnsiTheme="minorHAnsi" w:cstheme="minorHAnsi"/>
            <w:b w:val="0"/>
            <w:bCs/>
            <w:color w:val="auto"/>
            <w:sz w:val="22"/>
            <w:szCs w:val="22"/>
          </w:rPr>
          <w:t>caroline.nadeau@itaq.ca</w:t>
        </w:r>
      </w:hyperlink>
      <w:r w:rsidR="00473071" w:rsidRPr="008133E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sectPr w:rsidR="00E12325" w:rsidRPr="008133EA" w:rsidSect="00344F51">
      <w:headerReference w:type="first" r:id="rId12"/>
      <w:footerReference w:type="first" r:id="rId13"/>
      <w:pgSz w:w="12240" w:h="15840" w:code="1"/>
      <w:pgMar w:top="1418" w:right="1440" w:bottom="706" w:left="2261" w:header="346" w:footer="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3275" w14:textId="77777777" w:rsidR="00FF4DE3" w:rsidRDefault="00FF4DE3">
      <w:r>
        <w:separator/>
      </w:r>
    </w:p>
  </w:endnote>
  <w:endnote w:type="continuationSeparator" w:id="0">
    <w:p w14:paraId="4B39E0B0" w14:textId="77777777" w:rsidR="00FF4DE3" w:rsidRDefault="00FF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8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50"/>
      <w:gridCol w:w="2663"/>
      <w:gridCol w:w="2995"/>
    </w:tblGrid>
    <w:tr w:rsidR="00C85EB5" w:rsidRPr="00445FEC" w14:paraId="02944E73" w14:textId="77777777" w:rsidTr="004A1C77">
      <w:trPr>
        <w:trHeight w:val="813"/>
      </w:trPr>
      <w:tc>
        <w:tcPr>
          <w:tcW w:w="3550" w:type="dxa"/>
          <w:noWrap/>
        </w:tcPr>
        <w:p w14:paraId="4E968370" w14:textId="77777777" w:rsidR="00445FEC" w:rsidRPr="00445FEC" w:rsidRDefault="00C85EB5" w:rsidP="004A1C77">
          <w:pPr>
            <w:pStyle w:val="Pieddepage"/>
            <w:spacing w:line="18" w:lineRule="atLeast"/>
            <w:rPr>
              <w:rFonts w:ascii="Arial" w:hAnsi="Arial" w:cs="Arial"/>
              <w:b/>
              <w:bCs/>
              <w:sz w:val="14"/>
            </w:rPr>
          </w:pPr>
          <w:r w:rsidRPr="00445FEC">
            <w:rPr>
              <w:rFonts w:ascii="Arial" w:hAnsi="Arial" w:cs="Arial"/>
              <w:b/>
              <w:bCs/>
              <w:sz w:val="14"/>
            </w:rPr>
            <w:t>Institut de technologie</w:t>
          </w:r>
        </w:p>
        <w:p w14:paraId="5AFBDD06" w14:textId="77777777" w:rsidR="00445FEC" w:rsidRPr="00445FEC" w:rsidRDefault="00C85EB5" w:rsidP="00AC24FA">
          <w:pPr>
            <w:pStyle w:val="Pieddepage"/>
            <w:spacing w:after="20" w:line="18" w:lineRule="atLeast"/>
            <w:rPr>
              <w:rFonts w:ascii="Arial" w:hAnsi="Arial" w:cs="Arial"/>
              <w:b/>
              <w:bCs/>
              <w:sz w:val="14"/>
            </w:rPr>
          </w:pPr>
          <w:r w:rsidRPr="00445FEC">
            <w:rPr>
              <w:rFonts w:ascii="Arial" w:hAnsi="Arial" w:cs="Arial"/>
              <w:b/>
              <w:bCs/>
              <w:sz w:val="14"/>
            </w:rPr>
            <w:t>agroalimentaire</w:t>
          </w:r>
          <w:r w:rsidR="00445FEC" w:rsidRPr="00445FEC">
            <w:rPr>
              <w:rFonts w:ascii="Arial" w:hAnsi="Arial" w:cs="Arial"/>
              <w:b/>
              <w:bCs/>
              <w:sz w:val="14"/>
            </w:rPr>
            <w:t xml:space="preserve"> du Québec</w:t>
          </w:r>
        </w:p>
        <w:p w14:paraId="49907786" w14:textId="77777777" w:rsidR="00445FEC" w:rsidRDefault="00265B42" w:rsidP="00445FEC">
          <w:pPr>
            <w:pStyle w:val="Pieddepage"/>
            <w:spacing w:line="18" w:lineRule="atLeast"/>
            <w:ind w:left="-142"/>
            <w:rPr>
              <w:rFonts w:ascii="Arial" w:hAnsi="Arial" w:cs="Arial"/>
              <w:b/>
              <w:bCs/>
              <w:sz w:val="16"/>
              <w:szCs w:val="22"/>
            </w:rPr>
          </w:pPr>
          <w:r w:rsidRPr="006F6EC0">
            <w:rPr>
              <w:rFonts w:ascii="Arial" w:hAnsi="Arial" w:cs="Arial"/>
              <w:b/>
              <w:noProof/>
              <w:sz w:val="16"/>
              <w:szCs w:val="22"/>
            </w:rPr>
            <w:drawing>
              <wp:inline distT="0" distB="0" distL="0" distR="0" wp14:anchorId="0C499465" wp14:editId="07777777">
                <wp:extent cx="1282700" cy="4953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4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7728" behindDoc="0" locked="0" layoutInCell="1" allowOverlap="1" wp14:anchorId="14D8CC8C" wp14:editId="07777777">
                    <wp:simplePos x="0" y="0"/>
                    <wp:positionH relativeFrom="column">
                      <wp:posOffset>8890</wp:posOffset>
                    </wp:positionH>
                    <wp:positionV relativeFrom="paragraph">
                      <wp:posOffset>61594</wp:posOffset>
                    </wp:positionV>
                    <wp:extent cx="1310640" cy="0"/>
                    <wp:effectExtent l="0" t="19050" r="3810" b="0"/>
                    <wp:wrapNone/>
                    <wp:docPr id="3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1064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1056C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6" type="#_x0000_t32" style="position:absolute;margin-left:.7pt;margin-top:4.85pt;width:103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/jvwEAAGUDAAAOAAAAZHJzL2Uyb0RvYy54bWysU8Fu2zAMvQ/YPwi6L7bToSiMOD2kyy7d&#10;FqDtBzCybAuVRYFUYufvJ6lJWmy3YTAgUCL5+PhIr+7n0YqjJjboGlktSim0U9ga1zfy5Xn75U4K&#10;DuBasOh0I0+a5f3686fV5Gu9xAFtq0lEEMf15Bs5hODromA16BF4gV676OyQRgjxSn3REkwRfbTF&#10;sixviwmp9YRKM8fXhzenXGf8rtMq/Oo61kHYRkZuIZ+Uz306i/UK6p7AD0adacA/sBjBuFj0CvUA&#10;AcSBzF9Qo1GEjF1YKBwL7DqjdO4hdlOVf3TzNIDXuZcoDvurTPz/YNXP48btKFFXs3vyj6heWTjc&#10;DOB6nQk8n3wcXJWkKibP9TUlXdjvSOynH9jGGDgEzCrMHY0JMvYn5iz26Sq2noNQ8bG6qcrbr3Em&#10;6uIroL4keuLwXeMoktFIDgSmH8IGnYsjRapyGTg+cki0oL4kpKoOt8baPFnrxNTIm7uqLHMGozVt&#10;8qY4pn6/sSSOEJdju0xfbjJ6PoYRHlyb0QYN7bezHcDYNztWty7h6bxvZ0oXcdImcr3H9rSji4Jx&#10;lpn0ee/Ssny8Z53f/471bwAAAP//AwBQSwMEFAAGAAgAAAAhAKSVKt7XAAAABQEAAA8AAABkcnMv&#10;ZG93bnJldi54bWxMj0FLw0AQhe+C/2EZwZvdtEijMZtSKj1La8DrJJkmobuzIbttor/e0YseP97j&#10;zTf5ZnZWXWkMvWcDy0UCirj2Tc+tgfJ9//AEKkTkBq1nMvBJATbF7U2OWeMnPtD1GFslIxwyNNDF&#10;OGRah7ojh2HhB2LJTn50GAXHVjcjTjLurF4lyVo77FkudDjQrqP6fLw4A1VdfqXbw2v5MeymE6Pd&#10;6/WbNeb+bt6+gIo0x78y/OiLOhTiVPkLN0FZ4UcpGnhOQUm6SlJ5pPplXeT6v33xDQAA//8DAFBL&#10;AQItABQABgAIAAAAIQC2gziS/gAAAOEBAAATAAAAAAAAAAAAAAAAAAAAAABbQ29udGVudF9UeXBl&#10;c10ueG1sUEsBAi0AFAAGAAgAAAAhADj9If/WAAAAlAEAAAsAAAAAAAAAAAAAAAAALwEAAF9yZWxz&#10;Ly5yZWxzUEsBAi0AFAAGAAgAAAAhAAWp/+O/AQAAZQMAAA4AAAAAAAAAAAAAAAAALgIAAGRycy9l&#10;Mm9Eb2MueG1sUEsBAi0AFAAGAAgAAAAhAKSVKt7XAAAABQEAAA8AAAAAAAAAAAAAAAAAGQQAAGRy&#10;cy9kb3ducmV2LnhtbFBLBQYAAAAABAAEAPMAAAAdBQAAAAA=&#10;" strokecolor="#f2f2f2" strokeweight="3pt"/>
                </w:pict>
              </mc:Fallback>
            </mc:AlternateContent>
          </w:r>
        </w:p>
        <w:p w14:paraId="5DC92292" w14:textId="77777777" w:rsidR="00C85EB5" w:rsidRPr="00445FEC" w:rsidRDefault="00445FEC" w:rsidP="00AC24FA">
          <w:pPr>
            <w:pStyle w:val="Pieddepage"/>
            <w:spacing w:before="20" w:line="18" w:lineRule="atLeast"/>
            <w:ind w:left="-142"/>
            <w:rPr>
              <w:rFonts w:ascii="Arial" w:hAnsi="Arial" w:cs="Arial"/>
              <w:b/>
              <w:bCs/>
              <w:sz w:val="16"/>
              <w:szCs w:val="22"/>
            </w:rPr>
          </w:pPr>
          <w:r w:rsidRPr="00AC24FA">
            <w:rPr>
              <w:rFonts w:ascii="Arial" w:hAnsi="Arial" w:cs="Arial"/>
              <w:b/>
              <w:bCs/>
              <w:sz w:val="18"/>
              <w:szCs w:val="24"/>
            </w:rPr>
            <w:t xml:space="preserve">   </w:t>
          </w:r>
          <w:r w:rsidRPr="00AC24FA">
            <w:rPr>
              <w:rFonts w:ascii="Arial" w:hAnsi="Arial" w:cs="Arial"/>
              <w:b/>
              <w:bCs/>
              <w:sz w:val="14"/>
            </w:rPr>
            <w:t>www.itaq.ca</w:t>
          </w:r>
        </w:p>
      </w:tc>
      <w:tc>
        <w:tcPr>
          <w:tcW w:w="2663" w:type="dxa"/>
        </w:tcPr>
        <w:p w14:paraId="50AFA31B" w14:textId="77777777" w:rsidR="0044737E" w:rsidRPr="00445FEC" w:rsidRDefault="0044737E" w:rsidP="0044737E">
          <w:pPr>
            <w:pStyle w:val="Pieddepage"/>
            <w:spacing w:line="18" w:lineRule="atLeast"/>
            <w:rPr>
              <w:rFonts w:ascii="Arial" w:hAnsi="Arial" w:cs="Arial"/>
              <w:sz w:val="12"/>
              <w:szCs w:val="12"/>
            </w:rPr>
          </w:pPr>
          <w:r w:rsidRPr="00445FEC">
            <w:rPr>
              <w:rFonts w:ascii="Arial" w:hAnsi="Arial" w:cs="Arial"/>
              <w:sz w:val="12"/>
              <w:szCs w:val="12"/>
            </w:rPr>
            <w:t>Campus de La Pocatière</w:t>
          </w:r>
        </w:p>
        <w:p w14:paraId="0C41EDCE" w14:textId="77777777" w:rsidR="0044737E" w:rsidRPr="00445FEC" w:rsidRDefault="0044737E" w:rsidP="0044737E">
          <w:pPr>
            <w:pStyle w:val="Pieddepage"/>
            <w:spacing w:line="18" w:lineRule="atLeast"/>
            <w:rPr>
              <w:rFonts w:ascii="Arial" w:hAnsi="Arial" w:cs="Arial"/>
              <w:sz w:val="12"/>
              <w:szCs w:val="12"/>
            </w:rPr>
          </w:pPr>
          <w:r w:rsidRPr="00445FEC">
            <w:rPr>
              <w:rFonts w:ascii="Arial" w:hAnsi="Arial" w:cs="Arial"/>
              <w:sz w:val="12"/>
              <w:szCs w:val="12"/>
            </w:rPr>
            <w:t>401, rue Poiré</w:t>
          </w:r>
        </w:p>
        <w:p w14:paraId="78371F27" w14:textId="77777777" w:rsidR="0044737E" w:rsidRPr="00445FEC" w:rsidRDefault="0044737E" w:rsidP="0044737E">
          <w:pPr>
            <w:pStyle w:val="Pieddepage"/>
            <w:spacing w:line="18" w:lineRule="atLeast"/>
            <w:rPr>
              <w:rFonts w:ascii="Arial" w:hAnsi="Arial" w:cs="Arial"/>
              <w:sz w:val="12"/>
              <w:szCs w:val="12"/>
            </w:rPr>
          </w:pPr>
          <w:smartTag w:uri="urn:schemas-microsoft-com:office:smarttags" w:element="PersonName">
            <w:smartTagPr>
              <w:attr w:name="ProductID" w:val="La Pocati￨re"/>
            </w:smartTagPr>
            <w:r w:rsidRPr="00445FEC">
              <w:rPr>
                <w:rFonts w:ascii="Arial" w:hAnsi="Arial" w:cs="Arial"/>
                <w:sz w:val="12"/>
                <w:szCs w:val="12"/>
              </w:rPr>
              <w:t>La Pocatière</w:t>
            </w:r>
          </w:smartTag>
          <w:r w:rsidRPr="00445FEC">
            <w:rPr>
              <w:rFonts w:ascii="Arial" w:hAnsi="Arial" w:cs="Arial"/>
              <w:sz w:val="12"/>
              <w:szCs w:val="12"/>
            </w:rPr>
            <w:t xml:space="preserve"> (Québec) </w:t>
          </w:r>
          <w:r w:rsidR="00445FEC">
            <w:rPr>
              <w:rFonts w:ascii="Arial" w:hAnsi="Arial" w:cs="Arial"/>
              <w:sz w:val="12"/>
              <w:szCs w:val="12"/>
            </w:rPr>
            <w:t xml:space="preserve"> </w:t>
          </w:r>
          <w:r w:rsidRPr="00445FEC">
            <w:rPr>
              <w:rFonts w:ascii="Arial" w:hAnsi="Arial" w:cs="Arial"/>
              <w:sz w:val="12"/>
              <w:szCs w:val="12"/>
            </w:rPr>
            <w:t>G0R 1Z0</w:t>
          </w:r>
        </w:p>
        <w:p w14:paraId="31639B70" w14:textId="77777777" w:rsidR="00C85EB5" w:rsidRPr="00445FEC" w:rsidRDefault="0044737E" w:rsidP="0044737E">
          <w:pPr>
            <w:pStyle w:val="Pieddepage"/>
            <w:spacing w:line="18" w:lineRule="atLeast"/>
            <w:rPr>
              <w:rFonts w:ascii="Arial" w:hAnsi="Arial" w:cs="Arial"/>
              <w:sz w:val="12"/>
              <w:szCs w:val="12"/>
            </w:rPr>
          </w:pPr>
          <w:r w:rsidRPr="00445FEC">
            <w:rPr>
              <w:rFonts w:ascii="Arial" w:hAnsi="Arial" w:cs="Arial"/>
              <w:sz w:val="12"/>
              <w:szCs w:val="12"/>
            </w:rPr>
            <w:t>Téléphone : 418 856-1110</w:t>
          </w:r>
        </w:p>
      </w:tc>
      <w:tc>
        <w:tcPr>
          <w:tcW w:w="2995" w:type="dxa"/>
        </w:tcPr>
        <w:p w14:paraId="1DF085AA" w14:textId="77777777" w:rsidR="002B0979" w:rsidRPr="00445FEC" w:rsidRDefault="002B0979" w:rsidP="002B0979">
          <w:pPr>
            <w:pStyle w:val="Pieddepage"/>
            <w:spacing w:line="18" w:lineRule="atLeast"/>
            <w:rPr>
              <w:rFonts w:ascii="Arial" w:hAnsi="Arial" w:cs="Arial"/>
              <w:sz w:val="12"/>
              <w:szCs w:val="12"/>
            </w:rPr>
          </w:pPr>
          <w:r w:rsidRPr="00445FEC">
            <w:rPr>
              <w:rFonts w:ascii="Arial" w:hAnsi="Arial" w:cs="Arial"/>
              <w:sz w:val="12"/>
              <w:szCs w:val="12"/>
            </w:rPr>
            <w:t>Campus de Saint-Hyacinthe</w:t>
          </w:r>
        </w:p>
        <w:p w14:paraId="69E2B16F" w14:textId="77777777" w:rsidR="002B0979" w:rsidRPr="00445FEC" w:rsidRDefault="002B0979" w:rsidP="002B0979">
          <w:pPr>
            <w:pStyle w:val="Pieddepage"/>
            <w:spacing w:line="18" w:lineRule="atLeast"/>
            <w:rPr>
              <w:rFonts w:ascii="Arial" w:hAnsi="Arial" w:cs="Arial"/>
              <w:sz w:val="12"/>
              <w:szCs w:val="12"/>
            </w:rPr>
          </w:pPr>
          <w:r w:rsidRPr="00445FEC">
            <w:rPr>
              <w:rFonts w:ascii="Arial" w:hAnsi="Arial" w:cs="Arial"/>
              <w:sz w:val="12"/>
              <w:szCs w:val="12"/>
            </w:rPr>
            <w:t>3230, rue Sicotte</w:t>
          </w:r>
        </w:p>
        <w:p w14:paraId="04F84212" w14:textId="77777777" w:rsidR="002B0979" w:rsidRPr="00445FEC" w:rsidRDefault="002B0979" w:rsidP="002B0979">
          <w:pPr>
            <w:pStyle w:val="Pieddepage"/>
            <w:spacing w:line="18" w:lineRule="atLeast"/>
            <w:rPr>
              <w:rFonts w:ascii="Arial" w:hAnsi="Arial" w:cs="Arial"/>
              <w:sz w:val="12"/>
              <w:szCs w:val="12"/>
            </w:rPr>
          </w:pPr>
          <w:r w:rsidRPr="00445FEC">
            <w:rPr>
              <w:rFonts w:ascii="Arial" w:hAnsi="Arial" w:cs="Arial"/>
              <w:sz w:val="12"/>
              <w:szCs w:val="12"/>
            </w:rPr>
            <w:t>Saint-Hyacint</w:t>
          </w:r>
          <w:r w:rsidR="0034093A" w:rsidRPr="00445FEC">
            <w:rPr>
              <w:rFonts w:ascii="Arial" w:hAnsi="Arial" w:cs="Arial"/>
              <w:sz w:val="12"/>
              <w:szCs w:val="12"/>
            </w:rPr>
            <w:t>h</w:t>
          </w:r>
          <w:r w:rsidRPr="00445FEC">
            <w:rPr>
              <w:rFonts w:ascii="Arial" w:hAnsi="Arial" w:cs="Arial"/>
              <w:sz w:val="12"/>
              <w:szCs w:val="12"/>
            </w:rPr>
            <w:t xml:space="preserve">e (Québec) </w:t>
          </w:r>
          <w:r w:rsidR="00445FEC">
            <w:rPr>
              <w:rFonts w:ascii="Arial" w:hAnsi="Arial" w:cs="Arial"/>
              <w:sz w:val="12"/>
              <w:szCs w:val="12"/>
            </w:rPr>
            <w:t xml:space="preserve"> </w:t>
          </w:r>
          <w:r w:rsidRPr="00445FEC">
            <w:rPr>
              <w:rFonts w:ascii="Arial" w:hAnsi="Arial" w:cs="Arial"/>
              <w:sz w:val="12"/>
              <w:szCs w:val="12"/>
            </w:rPr>
            <w:t>J2S 2M2</w:t>
          </w:r>
        </w:p>
        <w:p w14:paraId="09E9E1A7" w14:textId="77777777" w:rsidR="00C85EB5" w:rsidRPr="00445FEC" w:rsidRDefault="002B0979" w:rsidP="002B0979">
          <w:pPr>
            <w:pStyle w:val="Pieddepage"/>
            <w:spacing w:line="18" w:lineRule="atLeast"/>
            <w:rPr>
              <w:rFonts w:ascii="Arial" w:hAnsi="Arial" w:cs="Arial"/>
              <w:sz w:val="12"/>
              <w:szCs w:val="12"/>
            </w:rPr>
          </w:pPr>
          <w:r w:rsidRPr="00445FEC">
            <w:rPr>
              <w:rFonts w:ascii="Arial" w:hAnsi="Arial" w:cs="Arial"/>
              <w:sz w:val="12"/>
              <w:szCs w:val="12"/>
            </w:rPr>
            <w:t>Téléphone : 450 778-6504</w:t>
          </w:r>
        </w:p>
      </w:tc>
    </w:tr>
  </w:tbl>
  <w:p w14:paraId="0562CB0E" w14:textId="77777777" w:rsidR="00C85EB5" w:rsidRPr="00445FEC" w:rsidRDefault="00C85EB5" w:rsidP="00445FEC">
    <w:pPr>
      <w:pStyle w:val="Pieddepag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6B7E" w14:textId="77777777" w:rsidR="00FF4DE3" w:rsidRDefault="00FF4DE3">
      <w:r>
        <w:separator/>
      </w:r>
    </w:p>
  </w:footnote>
  <w:footnote w:type="continuationSeparator" w:id="0">
    <w:p w14:paraId="129085DA" w14:textId="77777777" w:rsidR="00FF4DE3" w:rsidRDefault="00FF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02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8441"/>
    </w:tblGrid>
    <w:tr w:rsidR="00C85EB5" w14:paraId="4AE5D321" w14:textId="77777777" w:rsidTr="00CA48AD">
      <w:trPr>
        <w:trHeight w:hRule="exact" w:val="1080"/>
      </w:trPr>
      <w:tc>
        <w:tcPr>
          <w:tcW w:w="3261" w:type="dxa"/>
          <w:vAlign w:val="bottom"/>
        </w:tcPr>
        <w:p w14:paraId="3461D779" w14:textId="77777777" w:rsidR="00C85EB5" w:rsidRDefault="00265B42">
          <w:pPr>
            <w:pStyle w:val="En-tte"/>
          </w:pPr>
          <w:r w:rsidRPr="00F26E16">
            <w:rPr>
              <w:noProof/>
            </w:rPr>
            <w:drawing>
              <wp:inline distT="0" distB="0" distL="0" distR="0" wp14:anchorId="188CAA83" wp14:editId="07777777">
                <wp:extent cx="2077720" cy="77343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772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vAlign w:val="bottom"/>
        </w:tcPr>
        <w:p w14:paraId="501A11B3" w14:textId="77777777" w:rsidR="00C85EB5" w:rsidRPr="00CA48AD" w:rsidRDefault="00C85EB5" w:rsidP="00CA48AD">
          <w:pPr>
            <w:pStyle w:val="En-tte"/>
            <w:tabs>
              <w:tab w:val="clear" w:pos="8640"/>
            </w:tabs>
            <w:ind w:right="719"/>
            <w:jc w:val="right"/>
            <w:rPr>
              <w:rFonts w:ascii="Arial Narrow" w:hAnsi="Arial Narrow" w:cs="Arial"/>
              <w:sz w:val="52"/>
            </w:rPr>
          </w:pPr>
          <w:r w:rsidRPr="00CA48AD">
            <w:rPr>
              <w:rFonts w:ascii="Arial Narrow" w:hAnsi="Arial Narrow" w:cs="Arial"/>
              <w:sz w:val="52"/>
            </w:rPr>
            <w:t>Communiqué de presse</w:t>
          </w:r>
        </w:p>
      </w:tc>
    </w:tr>
  </w:tbl>
  <w:p w14:paraId="3CF2D8B6" w14:textId="77777777" w:rsidR="00C85EB5" w:rsidRDefault="00C85E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0E8"/>
    <w:multiLevelType w:val="hybridMultilevel"/>
    <w:tmpl w:val="7E7856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0DE"/>
    <w:multiLevelType w:val="hybridMultilevel"/>
    <w:tmpl w:val="D0E475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24E"/>
    <w:multiLevelType w:val="multilevel"/>
    <w:tmpl w:val="3BA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C47D3"/>
    <w:multiLevelType w:val="hybridMultilevel"/>
    <w:tmpl w:val="6AD26378"/>
    <w:lvl w:ilvl="0" w:tplc="0C0C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2840ADC"/>
    <w:multiLevelType w:val="hybridMultilevel"/>
    <w:tmpl w:val="70C4B2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44E3"/>
    <w:multiLevelType w:val="hybridMultilevel"/>
    <w:tmpl w:val="1A360B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7FB"/>
    <w:multiLevelType w:val="hybridMultilevel"/>
    <w:tmpl w:val="08ACFBE6"/>
    <w:lvl w:ilvl="0" w:tplc="06E6E740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6227"/>
    <w:multiLevelType w:val="hybridMultilevel"/>
    <w:tmpl w:val="7E029A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28E9"/>
    <w:multiLevelType w:val="multilevel"/>
    <w:tmpl w:val="7BA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A5782"/>
    <w:multiLevelType w:val="hybridMultilevel"/>
    <w:tmpl w:val="95F09AF0"/>
    <w:lvl w:ilvl="0" w:tplc="9A006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4E84"/>
    <w:multiLevelType w:val="hybridMultilevel"/>
    <w:tmpl w:val="AEDE0A8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6CC2"/>
    <w:multiLevelType w:val="hybridMultilevel"/>
    <w:tmpl w:val="26084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D5E55"/>
    <w:multiLevelType w:val="hybridMultilevel"/>
    <w:tmpl w:val="93AE11A4"/>
    <w:lvl w:ilvl="0" w:tplc="1F542F86">
      <w:start w:val="1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C7E49"/>
    <w:multiLevelType w:val="hybridMultilevel"/>
    <w:tmpl w:val="1430B1B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851BA">
      <w:start w:val="8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851BA">
      <w:start w:val="89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6835"/>
    <w:multiLevelType w:val="hybridMultilevel"/>
    <w:tmpl w:val="D9ECC01E"/>
    <w:lvl w:ilvl="0" w:tplc="A178F5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910D0"/>
    <w:multiLevelType w:val="hybridMultilevel"/>
    <w:tmpl w:val="56B6D61E"/>
    <w:lvl w:ilvl="0" w:tplc="A178F5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D79BD"/>
    <w:multiLevelType w:val="multilevel"/>
    <w:tmpl w:val="48CA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D7AD5"/>
    <w:multiLevelType w:val="hybridMultilevel"/>
    <w:tmpl w:val="33A809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3128B"/>
    <w:multiLevelType w:val="hybridMultilevel"/>
    <w:tmpl w:val="42CC086C"/>
    <w:lvl w:ilvl="0" w:tplc="E730A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14DB"/>
    <w:multiLevelType w:val="hybridMultilevel"/>
    <w:tmpl w:val="DC9846E0"/>
    <w:lvl w:ilvl="0" w:tplc="65027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45867"/>
    <w:multiLevelType w:val="hybridMultilevel"/>
    <w:tmpl w:val="7FFA2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B57B2"/>
    <w:multiLevelType w:val="hybridMultilevel"/>
    <w:tmpl w:val="9F6C6AFA"/>
    <w:lvl w:ilvl="0" w:tplc="DC4CF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1790E"/>
    <w:multiLevelType w:val="hybridMultilevel"/>
    <w:tmpl w:val="E3782DA6"/>
    <w:lvl w:ilvl="0" w:tplc="CD0E2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1904479">
    <w:abstractNumId w:val="12"/>
  </w:num>
  <w:num w:numId="2" w16cid:durableId="1069494881">
    <w:abstractNumId w:val="10"/>
  </w:num>
  <w:num w:numId="3" w16cid:durableId="1581328443">
    <w:abstractNumId w:val="9"/>
  </w:num>
  <w:num w:numId="4" w16cid:durableId="213081185">
    <w:abstractNumId w:val="21"/>
  </w:num>
  <w:num w:numId="5" w16cid:durableId="980040909">
    <w:abstractNumId w:val="2"/>
  </w:num>
  <w:num w:numId="6" w16cid:durableId="1055816290">
    <w:abstractNumId w:val="8"/>
  </w:num>
  <w:num w:numId="7" w16cid:durableId="1527518860">
    <w:abstractNumId w:val="16"/>
  </w:num>
  <w:num w:numId="8" w16cid:durableId="796603415">
    <w:abstractNumId w:val="22"/>
  </w:num>
  <w:num w:numId="9" w16cid:durableId="470829156">
    <w:abstractNumId w:val="18"/>
  </w:num>
  <w:num w:numId="10" w16cid:durableId="1629897616">
    <w:abstractNumId w:val="19"/>
  </w:num>
  <w:num w:numId="11" w16cid:durableId="693656709">
    <w:abstractNumId w:val="13"/>
  </w:num>
  <w:num w:numId="12" w16cid:durableId="592324871">
    <w:abstractNumId w:val="3"/>
  </w:num>
  <w:num w:numId="13" w16cid:durableId="722556759">
    <w:abstractNumId w:val="4"/>
  </w:num>
  <w:num w:numId="14" w16cid:durableId="1536696831">
    <w:abstractNumId w:val="17"/>
  </w:num>
  <w:num w:numId="15" w16cid:durableId="2109737532">
    <w:abstractNumId w:val="5"/>
  </w:num>
  <w:num w:numId="16" w16cid:durableId="1500385341">
    <w:abstractNumId w:val="7"/>
  </w:num>
  <w:num w:numId="17" w16cid:durableId="683554625">
    <w:abstractNumId w:val="1"/>
  </w:num>
  <w:num w:numId="18" w16cid:durableId="1747680889">
    <w:abstractNumId w:val="6"/>
  </w:num>
  <w:num w:numId="19" w16cid:durableId="1326395793">
    <w:abstractNumId w:val="15"/>
  </w:num>
  <w:num w:numId="20" w16cid:durableId="1443382063">
    <w:abstractNumId w:val="14"/>
  </w:num>
  <w:num w:numId="21" w16cid:durableId="454107675">
    <w:abstractNumId w:val="0"/>
  </w:num>
  <w:num w:numId="22" w16cid:durableId="342360917">
    <w:abstractNumId w:val="11"/>
  </w:num>
  <w:num w:numId="23" w16cid:durableId="63705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F7"/>
    <w:rsid w:val="00001D0D"/>
    <w:rsid w:val="000022A4"/>
    <w:rsid w:val="00002B90"/>
    <w:rsid w:val="00010206"/>
    <w:rsid w:val="00011526"/>
    <w:rsid w:val="00012B49"/>
    <w:rsid w:val="00015A51"/>
    <w:rsid w:val="00015CC0"/>
    <w:rsid w:val="00021F60"/>
    <w:rsid w:val="00022EF9"/>
    <w:rsid w:val="00024740"/>
    <w:rsid w:val="00030998"/>
    <w:rsid w:val="000358F8"/>
    <w:rsid w:val="00036AD5"/>
    <w:rsid w:val="00037FEF"/>
    <w:rsid w:val="0004038F"/>
    <w:rsid w:val="00040DAD"/>
    <w:rsid w:val="00045165"/>
    <w:rsid w:val="00045EC3"/>
    <w:rsid w:val="000504C0"/>
    <w:rsid w:val="000509C8"/>
    <w:rsid w:val="000550D1"/>
    <w:rsid w:val="00055A63"/>
    <w:rsid w:val="000600BA"/>
    <w:rsid w:val="00061561"/>
    <w:rsid w:val="00062482"/>
    <w:rsid w:val="00062540"/>
    <w:rsid w:val="00065114"/>
    <w:rsid w:val="00065841"/>
    <w:rsid w:val="00066DE5"/>
    <w:rsid w:val="00067325"/>
    <w:rsid w:val="0007106F"/>
    <w:rsid w:val="00072090"/>
    <w:rsid w:val="00072F12"/>
    <w:rsid w:val="00074D51"/>
    <w:rsid w:val="00076A1B"/>
    <w:rsid w:val="00082076"/>
    <w:rsid w:val="000844A3"/>
    <w:rsid w:val="000844D7"/>
    <w:rsid w:val="00084A37"/>
    <w:rsid w:val="000850AA"/>
    <w:rsid w:val="000952ED"/>
    <w:rsid w:val="000A2B6D"/>
    <w:rsid w:val="000A30BE"/>
    <w:rsid w:val="000A3F86"/>
    <w:rsid w:val="000A5A2E"/>
    <w:rsid w:val="000A62B7"/>
    <w:rsid w:val="000B01C0"/>
    <w:rsid w:val="000B2110"/>
    <w:rsid w:val="000B217D"/>
    <w:rsid w:val="000B259A"/>
    <w:rsid w:val="000B3A53"/>
    <w:rsid w:val="000B49F3"/>
    <w:rsid w:val="000B4A55"/>
    <w:rsid w:val="000C0B41"/>
    <w:rsid w:val="000C33A1"/>
    <w:rsid w:val="000C3473"/>
    <w:rsid w:val="000C386E"/>
    <w:rsid w:val="000C3EA3"/>
    <w:rsid w:val="000C66E2"/>
    <w:rsid w:val="000C7126"/>
    <w:rsid w:val="000D2321"/>
    <w:rsid w:val="000E0476"/>
    <w:rsid w:val="000E0A81"/>
    <w:rsid w:val="000F576B"/>
    <w:rsid w:val="00100C52"/>
    <w:rsid w:val="00102A39"/>
    <w:rsid w:val="00103B40"/>
    <w:rsid w:val="00103B64"/>
    <w:rsid w:val="00105A49"/>
    <w:rsid w:val="001077BF"/>
    <w:rsid w:val="00107D1C"/>
    <w:rsid w:val="0011061D"/>
    <w:rsid w:val="00111504"/>
    <w:rsid w:val="00114777"/>
    <w:rsid w:val="00115FCE"/>
    <w:rsid w:val="0011775C"/>
    <w:rsid w:val="00120672"/>
    <w:rsid w:val="00121BD5"/>
    <w:rsid w:val="00122434"/>
    <w:rsid w:val="00123C4D"/>
    <w:rsid w:val="0012521B"/>
    <w:rsid w:val="001305D8"/>
    <w:rsid w:val="00133A52"/>
    <w:rsid w:val="00135D43"/>
    <w:rsid w:val="00141A18"/>
    <w:rsid w:val="00141C00"/>
    <w:rsid w:val="0014266A"/>
    <w:rsid w:val="001426BC"/>
    <w:rsid w:val="001467CD"/>
    <w:rsid w:val="0014745B"/>
    <w:rsid w:val="00152B71"/>
    <w:rsid w:val="00153895"/>
    <w:rsid w:val="00154CA2"/>
    <w:rsid w:val="00155520"/>
    <w:rsid w:val="0015571E"/>
    <w:rsid w:val="001603A3"/>
    <w:rsid w:val="00160BE5"/>
    <w:rsid w:val="00161333"/>
    <w:rsid w:val="001615CA"/>
    <w:rsid w:val="00162B9D"/>
    <w:rsid w:val="00162F88"/>
    <w:rsid w:val="00163C11"/>
    <w:rsid w:val="00163D31"/>
    <w:rsid w:val="0016402E"/>
    <w:rsid w:val="00164EBD"/>
    <w:rsid w:val="00165A53"/>
    <w:rsid w:val="00166AEF"/>
    <w:rsid w:val="00174558"/>
    <w:rsid w:val="00177059"/>
    <w:rsid w:val="0017771D"/>
    <w:rsid w:val="00184A2A"/>
    <w:rsid w:val="00186BC1"/>
    <w:rsid w:val="00192B43"/>
    <w:rsid w:val="001935C6"/>
    <w:rsid w:val="00196D74"/>
    <w:rsid w:val="00196E5C"/>
    <w:rsid w:val="001972B5"/>
    <w:rsid w:val="001A239C"/>
    <w:rsid w:val="001A7ED1"/>
    <w:rsid w:val="001B6947"/>
    <w:rsid w:val="001B6AA6"/>
    <w:rsid w:val="001B7550"/>
    <w:rsid w:val="001C0831"/>
    <w:rsid w:val="001C4659"/>
    <w:rsid w:val="001C5672"/>
    <w:rsid w:val="001D1591"/>
    <w:rsid w:val="001D15F7"/>
    <w:rsid w:val="001D3A00"/>
    <w:rsid w:val="001D400F"/>
    <w:rsid w:val="001D678D"/>
    <w:rsid w:val="001D7F0B"/>
    <w:rsid w:val="001E12C6"/>
    <w:rsid w:val="001E241B"/>
    <w:rsid w:val="001E284F"/>
    <w:rsid w:val="001E33D1"/>
    <w:rsid w:val="001E3DF7"/>
    <w:rsid w:val="001E4018"/>
    <w:rsid w:val="001E7B9A"/>
    <w:rsid w:val="001F2562"/>
    <w:rsid w:val="001F5EB0"/>
    <w:rsid w:val="00201C60"/>
    <w:rsid w:val="002044EC"/>
    <w:rsid w:val="00207D33"/>
    <w:rsid w:val="00211646"/>
    <w:rsid w:val="00212980"/>
    <w:rsid w:val="00212B58"/>
    <w:rsid w:val="00213476"/>
    <w:rsid w:val="00214FB8"/>
    <w:rsid w:val="0021631F"/>
    <w:rsid w:val="0022151A"/>
    <w:rsid w:val="0022270F"/>
    <w:rsid w:val="0022306D"/>
    <w:rsid w:val="00225E14"/>
    <w:rsid w:val="0022703D"/>
    <w:rsid w:val="00227C8C"/>
    <w:rsid w:val="00230329"/>
    <w:rsid w:val="00230534"/>
    <w:rsid w:val="0023055A"/>
    <w:rsid w:val="00232980"/>
    <w:rsid w:val="00235578"/>
    <w:rsid w:val="00235853"/>
    <w:rsid w:val="00235FA1"/>
    <w:rsid w:val="002412E0"/>
    <w:rsid w:val="00242C1A"/>
    <w:rsid w:val="00246F42"/>
    <w:rsid w:val="00247B0E"/>
    <w:rsid w:val="0025244E"/>
    <w:rsid w:val="002525B5"/>
    <w:rsid w:val="00253817"/>
    <w:rsid w:val="002574D9"/>
    <w:rsid w:val="00260A03"/>
    <w:rsid w:val="0026266B"/>
    <w:rsid w:val="00263DC7"/>
    <w:rsid w:val="00264A30"/>
    <w:rsid w:val="00265794"/>
    <w:rsid w:val="00265B42"/>
    <w:rsid w:val="0027008A"/>
    <w:rsid w:val="00270C4B"/>
    <w:rsid w:val="00272857"/>
    <w:rsid w:val="002752F8"/>
    <w:rsid w:val="00276DA3"/>
    <w:rsid w:val="0028469B"/>
    <w:rsid w:val="002863D4"/>
    <w:rsid w:val="002905C9"/>
    <w:rsid w:val="00291502"/>
    <w:rsid w:val="00292C83"/>
    <w:rsid w:val="00293D2B"/>
    <w:rsid w:val="002A4463"/>
    <w:rsid w:val="002A56CA"/>
    <w:rsid w:val="002A5818"/>
    <w:rsid w:val="002A6482"/>
    <w:rsid w:val="002B0186"/>
    <w:rsid w:val="002B0979"/>
    <w:rsid w:val="002B0CBD"/>
    <w:rsid w:val="002B0D2E"/>
    <w:rsid w:val="002B7FB9"/>
    <w:rsid w:val="002C1BCE"/>
    <w:rsid w:val="002C2C7A"/>
    <w:rsid w:val="002C3CBB"/>
    <w:rsid w:val="002C42D4"/>
    <w:rsid w:val="002C4C77"/>
    <w:rsid w:val="002C7066"/>
    <w:rsid w:val="002D1D21"/>
    <w:rsid w:val="002D3038"/>
    <w:rsid w:val="002D48DD"/>
    <w:rsid w:val="002D4AD9"/>
    <w:rsid w:val="002D4DB4"/>
    <w:rsid w:val="002E29E0"/>
    <w:rsid w:val="002E2CDE"/>
    <w:rsid w:val="002E2F94"/>
    <w:rsid w:val="002E5CDC"/>
    <w:rsid w:val="002E637B"/>
    <w:rsid w:val="002F14E3"/>
    <w:rsid w:val="002F1E9E"/>
    <w:rsid w:val="002F3D95"/>
    <w:rsid w:val="002F3E0C"/>
    <w:rsid w:val="002F4E91"/>
    <w:rsid w:val="002F5883"/>
    <w:rsid w:val="00300E19"/>
    <w:rsid w:val="00300E22"/>
    <w:rsid w:val="003018EE"/>
    <w:rsid w:val="00302C9A"/>
    <w:rsid w:val="003049C0"/>
    <w:rsid w:val="003060A4"/>
    <w:rsid w:val="003074FF"/>
    <w:rsid w:val="00312042"/>
    <w:rsid w:val="0032266C"/>
    <w:rsid w:val="0032506E"/>
    <w:rsid w:val="003270EB"/>
    <w:rsid w:val="0032755D"/>
    <w:rsid w:val="003302B5"/>
    <w:rsid w:val="00334784"/>
    <w:rsid w:val="0033587F"/>
    <w:rsid w:val="0034093A"/>
    <w:rsid w:val="00341619"/>
    <w:rsid w:val="00342398"/>
    <w:rsid w:val="003428EA"/>
    <w:rsid w:val="00343CCB"/>
    <w:rsid w:val="00344F51"/>
    <w:rsid w:val="00345D17"/>
    <w:rsid w:val="00346B01"/>
    <w:rsid w:val="00352187"/>
    <w:rsid w:val="00353381"/>
    <w:rsid w:val="00355053"/>
    <w:rsid w:val="003574D2"/>
    <w:rsid w:val="00360C86"/>
    <w:rsid w:val="00361B80"/>
    <w:rsid w:val="00364AAD"/>
    <w:rsid w:val="00364FFE"/>
    <w:rsid w:val="003673A4"/>
    <w:rsid w:val="00371946"/>
    <w:rsid w:val="00371B51"/>
    <w:rsid w:val="00372FE0"/>
    <w:rsid w:val="00374E91"/>
    <w:rsid w:val="00375CC1"/>
    <w:rsid w:val="00382E37"/>
    <w:rsid w:val="00390D47"/>
    <w:rsid w:val="00393BFB"/>
    <w:rsid w:val="00394C0B"/>
    <w:rsid w:val="00395C8A"/>
    <w:rsid w:val="00396C46"/>
    <w:rsid w:val="003A3487"/>
    <w:rsid w:val="003A6C56"/>
    <w:rsid w:val="003B3260"/>
    <w:rsid w:val="003C1739"/>
    <w:rsid w:val="003C1982"/>
    <w:rsid w:val="003C3287"/>
    <w:rsid w:val="003C40FE"/>
    <w:rsid w:val="003C4508"/>
    <w:rsid w:val="003C509C"/>
    <w:rsid w:val="003D00D4"/>
    <w:rsid w:val="003D23D6"/>
    <w:rsid w:val="003E0955"/>
    <w:rsid w:val="003E33BB"/>
    <w:rsid w:val="003E4975"/>
    <w:rsid w:val="003E5130"/>
    <w:rsid w:val="003E7A19"/>
    <w:rsid w:val="003F007C"/>
    <w:rsid w:val="003F2E84"/>
    <w:rsid w:val="003F48BF"/>
    <w:rsid w:val="003F7686"/>
    <w:rsid w:val="00407F21"/>
    <w:rsid w:val="0041146C"/>
    <w:rsid w:val="00414134"/>
    <w:rsid w:val="004146C9"/>
    <w:rsid w:val="00414CBD"/>
    <w:rsid w:val="00415050"/>
    <w:rsid w:val="00416C11"/>
    <w:rsid w:val="00424444"/>
    <w:rsid w:val="004260B9"/>
    <w:rsid w:val="004275F8"/>
    <w:rsid w:val="004305CE"/>
    <w:rsid w:val="0043103B"/>
    <w:rsid w:val="0043505A"/>
    <w:rsid w:val="00435A67"/>
    <w:rsid w:val="0043629D"/>
    <w:rsid w:val="004372DD"/>
    <w:rsid w:val="00440970"/>
    <w:rsid w:val="004415FF"/>
    <w:rsid w:val="004459F0"/>
    <w:rsid w:val="00445FEC"/>
    <w:rsid w:val="00446486"/>
    <w:rsid w:val="0044737E"/>
    <w:rsid w:val="00450995"/>
    <w:rsid w:val="00450C03"/>
    <w:rsid w:val="00451817"/>
    <w:rsid w:val="00454FA7"/>
    <w:rsid w:val="00455885"/>
    <w:rsid w:val="00465D55"/>
    <w:rsid w:val="00473071"/>
    <w:rsid w:val="004733DA"/>
    <w:rsid w:val="00474C1E"/>
    <w:rsid w:val="00475287"/>
    <w:rsid w:val="0047761B"/>
    <w:rsid w:val="0048063F"/>
    <w:rsid w:val="00481BA6"/>
    <w:rsid w:val="00491D39"/>
    <w:rsid w:val="00491E4A"/>
    <w:rsid w:val="00494BC4"/>
    <w:rsid w:val="004956FD"/>
    <w:rsid w:val="004962BC"/>
    <w:rsid w:val="00496C87"/>
    <w:rsid w:val="004A1C77"/>
    <w:rsid w:val="004A228E"/>
    <w:rsid w:val="004A4435"/>
    <w:rsid w:val="004A654F"/>
    <w:rsid w:val="004A731F"/>
    <w:rsid w:val="004A7EFD"/>
    <w:rsid w:val="004B0E9C"/>
    <w:rsid w:val="004B302D"/>
    <w:rsid w:val="004B6511"/>
    <w:rsid w:val="004B6601"/>
    <w:rsid w:val="004C1751"/>
    <w:rsid w:val="004C3CEE"/>
    <w:rsid w:val="004C794F"/>
    <w:rsid w:val="004D1DE6"/>
    <w:rsid w:val="004D5640"/>
    <w:rsid w:val="004D69AE"/>
    <w:rsid w:val="004E3AB6"/>
    <w:rsid w:val="004E4633"/>
    <w:rsid w:val="004E4A84"/>
    <w:rsid w:val="004F03C7"/>
    <w:rsid w:val="004F2F75"/>
    <w:rsid w:val="004F3468"/>
    <w:rsid w:val="004F35C3"/>
    <w:rsid w:val="004F6067"/>
    <w:rsid w:val="004F797A"/>
    <w:rsid w:val="005010C3"/>
    <w:rsid w:val="005013AB"/>
    <w:rsid w:val="005020AC"/>
    <w:rsid w:val="00502DBE"/>
    <w:rsid w:val="0050421B"/>
    <w:rsid w:val="00504E19"/>
    <w:rsid w:val="0050671A"/>
    <w:rsid w:val="00507CDC"/>
    <w:rsid w:val="00507EE7"/>
    <w:rsid w:val="00510860"/>
    <w:rsid w:val="005112C6"/>
    <w:rsid w:val="00512C9A"/>
    <w:rsid w:val="00513CC3"/>
    <w:rsid w:val="00520C18"/>
    <w:rsid w:val="00523324"/>
    <w:rsid w:val="00525852"/>
    <w:rsid w:val="00527B14"/>
    <w:rsid w:val="0053077D"/>
    <w:rsid w:val="00530BE6"/>
    <w:rsid w:val="00531B4F"/>
    <w:rsid w:val="00532501"/>
    <w:rsid w:val="005325BB"/>
    <w:rsid w:val="00533F86"/>
    <w:rsid w:val="00543E22"/>
    <w:rsid w:val="00545A31"/>
    <w:rsid w:val="0055158B"/>
    <w:rsid w:val="00552B94"/>
    <w:rsid w:val="005536ED"/>
    <w:rsid w:val="00553DBA"/>
    <w:rsid w:val="00561753"/>
    <w:rsid w:val="005619D8"/>
    <w:rsid w:val="00570FB1"/>
    <w:rsid w:val="005816E1"/>
    <w:rsid w:val="00582161"/>
    <w:rsid w:val="005843FA"/>
    <w:rsid w:val="00584A75"/>
    <w:rsid w:val="0059137B"/>
    <w:rsid w:val="00594672"/>
    <w:rsid w:val="005948B7"/>
    <w:rsid w:val="00597A69"/>
    <w:rsid w:val="005A13CF"/>
    <w:rsid w:val="005A2723"/>
    <w:rsid w:val="005A2A25"/>
    <w:rsid w:val="005A6360"/>
    <w:rsid w:val="005A63C7"/>
    <w:rsid w:val="005A75D4"/>
    <w:rsid w:val="005B0947"/>
    <w:rsid w:val="005B09FE"/>
    <w:rsid w:val="005B22E6"/>
    <w:rsid w:val="005B3A43"/>
    <w:rsid w:val="005B3D22"/>
    <w:rsid w:val="005B4ED3"/>
    <w:rsid w:val="005C0D73"/>
    <w:rsid w:val="005C2273"/>
    <w:rsid w:val="005C25A2"/>
    <w:rsid w:val="005C3DF5"/>
    <w:rsid w:val="005C4951"/>
    <w:rsid w:val="005C5D81"/>
    <w:rsid w:val="005D0558"/>
    <w:rsid w:val="005D2BAA"/>
    <w:rsid w:val="005D5CAC"/>
    <w:rsid w:val="005E0946"/>
    <w:rsid w:val="005E11DD"/>
    <w:rsid w:val="005E38AC"/>
    <w:rsid w:val="005E4269"/>
    <w:rsid w:val="005E54D3"/>
    <w:rsid w:val="005F07AB"/>
    <w:rsid w:val="005F1802"/>
    <w:rsid w:val="005F25D7"/>
    <w:rsid w:val="005F45B4"/>
    <w:rsid w:val="005F4BDF"/>
    <w:rsid w:val="005F52F2"/>
    <w:rsid w:val="005F6112"/>
    <w:rsid w:val="005F778B"/>
    <w:rsid w:val="00600DE6"/>
    <w:rsid w:val="00601E29"/>
    <w:rsid w:val="006029ED"/>
    <w:rsid w:val="006058E8"/>
    <w:rsid w:val="00612D09"/>
    <w:rsid w:val="00616250"/>
    <w:rsid w:val="0062109C"/>
    <w:rsid w:val="006218BA"/>
    <w:rsid w:val="00631E44"/>
    <w:rsid w:val="00635B73"/>
    <w:rsid w:val="00640ABC"/>
    <w:rsid w:val="00641A4A"/>
    <w:rsid w:val="00642B32"/>
    <w:rsid w:val="0064327D"/>
    <w:rsid w:val="00643E70"/>
    <w:rsid w:val="006535CD"/>
    <w:rsid w:val="00653788"/>
    <w:rsid w:val="006539B6"/>
    <w:rsid w:val="00653D3A"/>
    <w:rsid w:val="00655480"/>
    <w:rsid w:val="00656D14"/>
    <w:rsid w:val="00666995"/>
    <w:rsid w:val="00670A45"/>
    <w:rsid w:val="0067634C"/>
    <w:rsid w:val="0067699F"/>
    <w:rsid w:val="00677DA5"/>
    <w:rsid w:val="00680DE8"/>
    <w:rsid w:val="00682AC4"/>
    <w:rsid w:val="00690C33"/>
    <w:rsid w:val="006965D7"/>
    <w:rsid w:val="006A1191"/>
    <w:rsid w:val="006A6336"/>
    <w:rsid w:val="006A72FB"/>
    <w:rsid w:val="006A7804"/>
    <w:rsid w:val="006A7A5A"/>
    <w:rsid w:val="006B3559"/>
    <w:rsid w:val="006B4395"/>
    <w:rsid w:val="006B4AA5"/>
    <w:rsid w:val="006B4F94"/>
    <w:rsid w:val="006B70D1"/>
    <w:rsid w:val="006B75CE"/>
    <w:rsid w:val="006C1C35"/>
    <w:rsid w:val="006C3CCC"/>
    <w:rsid w:val="006C687E"/>
    <w:rsid w:val="006C7E91"/>
    <w:rsid w:val="006D193C"/>
    <w:rsid w:val="006E38DA"/>
    <w:rsid w:val="006E3CA7"/>
    <w:rsid w:val="006E7635"/>
    <w:rsid w:val="006F035B"/>
    <w:rsid w:val="006F1124"/>
    <w:rsid w:val="006F2505"/>
    <w:rsid w:val="006F490F"/>
    <w:rsid w:val="006F5B50"/>
    <w:rsid w:val="006F6EC0"/>
    <w:rsid w:val="0070030A"/>
    <w:rsid w:val="007019B5"/>
    <w:rsid w:val="00710D7D"/>
    <w:rsid w:val="00715D41"/>
    <w:rsid w:val="00716521"/>
    <w:rsid w:val="00720477"/>
    <w:rsid w:val="0072121A"/>
    <w:rsid w:val="00722217"/>
    <w:rsid w:val="00724428"/>
    <w:rsid w:val="00725373"/>
    <w:rsid w:val="007263CF"/>
    <w:rsid w:val="00726664"/>
    <w:rsid w:val="00726BF2"/>
    <w:rsid w:val="00727517"/>
    <w:rsid w:val="00730A3A"/>
    <w:rsid w:val="007340D5"/>
    <w:rsid w:val="00741049"/>
    <w:rsid w:val="0074333A"/>
    <w:rsid w:val="0074396E"/>
    <w:rsid w:val="00744FEE"/>
    <w:rsid w:val="007467D9"/>
    <w:rsid w:val="00746F34"/>
    <w:rsid w:val="00747351"/>
    <w:rsid w:val="007473DE"/>
    <w:rsid w:val="00747611"/>
    <w:rsid w:val="007516D2"/>
    <w:rsid w:val="00751BD6"/>
    <w:rsid w:val="00752D87"/>
    <w:rsid w:val="00753316"/>
    <w:rsid w:val="0075417B"/>
    <w:rsid w:val="00756A7A"/>
    <w:rsid w:val="00763082"/>
    <w:rsid w:val="00765081"/>
    <w:rsid w:val="00773F77"/>
    <w:rsid w:val="007740B4"/>
    <w:rsid w:val="00774CD6"/>
    <w:rsid w:val="00775092"/>
    <w:rsid w:val="00775FEB"/>
    <w:rsid w:val="00784172"/>
    <w:rsid w:val="007903AD"/>
    <w:rsid w:val="00790435"/>
    <w:rsid w:val="00790502"/>
    <w:rsid w:val="00791A9A"/>
    <w:rsid w:val="007A1188"/>
    <w:rsid w:val="007A454D"/>
    <w:rsid w:val="007A7BEA"/>
    <w:rsid w:val="007A7BED"/>
    <w:rsid w:val="007B2073"/>
    <w:rsid w:val="007B2C4A"/>
    <w:rsid w:val="007B4F9B"/>
    <w:rsid w:val="007B6ECC"/>
    <w:rsid w:val="007C29C2"/>
    <w:rsid w:val="007D0259"/>
    <w:rsid w:val="007D3AE2"/>
    <w:rsid w:val="007D7669"/>
    <w:rsid w:val="007D7DCC"/>
    <w:rsid w:val="007E11A0"/>
    <w:rsid w:val="007E1323"/>
    <w:rsid w:val="007E1848"/>
    <w:rsid w:val="007E2520"/>
    <w:rsid w:val="007F3369"/>
    <w:rsid w:val="007F50FD"/>
    <w:rsid w:val="007F5199"/>
    <w:rsid w:val="007F7D2E"/>
    <w:rsid w:val="007F7D5F"/>
    <w:rsid w:val="007F7F78"/>
    <w:rsid w:val="00804970"/>
    <w:rsid w:val="00810405"/>
    <w:rsid w:val="00810DBE"/>
    <w:rsid w:val="0081169B"/>
    <w:rsid w:val="008119E0"/>
    <w:rsid w:val="0081262F"/>
    <w:rsid w:val="008133EA"/>
    <w:rsid w:val="00813AFB"/>
    <w:rsid w:val="0081554D"/>
    <w:rsid w:val="00816546"/>
    <w:rsid w:val="00821D9C"/>
    <w:rsid w:val="008234D2"/>
    <w:rsid w:val="00830F31"/>
    <w:rsid w:val="00831724"/>
    <w:rsid w:val="008318AF"/>
    <w:rsid w:val="00831CA2"/>
    <w:rsid w:val="00833C2E"/>
    <w:rsid w:val="00836672"/>
    <w:rsid w:val="0083710C"/>
    <w:rsid w:val="00842770"/>
    <w:rsid w:val="00845883"/>
    <w:rsid w:val="00854F36"/>
    <w:rsid w:val="00856891"/>
    <w:rsid w:val="008568E8"/>
    <w:rsid w:val="008578B1"/>
    <w:rsid w:val="00857E42"/>
    <w:rsid w:val="00863343"/>
    <w:rsid w:val="00864310"/>
    <w:rsid w:val="008668BF"/>
    <w:rsid w:val="00871FD6"/>
    <w:rsid w:val="00873A54"/>
    <w:rsid w:val="0087430F"/>
    <w:rsid w:val="0087579D"/>
    <w:rsid w:val="00876857"/>
    <w:rsid w:val="00876EE0"/>
    <w:rsid w:val="00877EC3"/>
    <w:rsid w:val="00882B7C"/>
    <w:rsid w:val="00883744"/>
    <w:rsid w:val="00884E6E"/>
    <w:rsid w:val="008875BB"/>
    <w:rsid w:val="0089250F"/>
    <w:rsid w:val="008925F2"/>
    <w:rsid w:val="008934A3"/>
    <w:rsid w:val="00893F36"/>
    <w:rsid w:val="00896D49"/>
    <w:rsid w:val="008A2F08"/>
    <w:rsid w:val="008A3982"/>
    <w:rsid w:val="008A3AE6"/>
    <w:rsid w:val="008A520C"/>
    <w:rsid w:val="008A7734"/>
    <w:rsid w:val="008A7BB2"/>
    <w:rsid w:val="008B097A"/>
    <w:rsid w:val="008B395B"/>
    <w:rsid w:val="008C186A"/>
    <w:rsid w:val="008C384F"/>
    <w:rsid w:val="008C3FD1"/>
    <w:rsid w:val="008C4C56"/>
    <w:rsid w:val="008C754E"/>
    <w:rsid w:val="008D1317"/>
    <w:rsid w:val="008D2BE9"/>
    <w:rsid w:val="008D40D6"/>
    <w:rsid w:val="008D6EA7"/>
    <w:rsid w:val="008E00BE"/>
    <w:rsid w:val="008E2EFD"/>
    <w:rsid w:val="008E4401"/>
    <w:rsid w:val="008E5345"/>
    <w:rsid w:val="008E6AAD"/>
    <w:rsid w:val="008E6DD3"/>
    <w:rsid w:val="008F1AC9"/>
    <w:rsid w:val="008F25BD"/>
    <w:rsid w:val="008F45F4"/>
    <w:rsid w:val="008F6F7B"/>
    <w:rsid w:val="00901CE4"/>
    <w:rsid w:val="009020D9"/>
    <w:rsid w:val="0090337B"/>
    <w:rsid w:val="00904A3A"/>
    <w:rsid w:val="00905A37"/>
    <w:rsid w:val="009122FC"/>
    <w:rsid w:val="009128C2"/>
    <w:rsid w:val="009146F1"/>
    <w:rsid w:val="009149BE"/>
    <w:rsid w:val="00924F0F"/>
    <w:rsid w:val="009261A9"/>
    <w:rsid w:val="0092788C"/>
    <w:rsid w:val="00927A17"/>
    <w:rsid w:val="00931D86"/>
    <w:rsid w:val="00931E05"/>
    <w:rsid w:val="00933F86"/>
    <w:rsid w:val="00935BF7"/>
    <w:rsid w:val="009368D9"/>
    <w:rsid w:val="00940F52"/>
    <w:rsid w:val="009417E8"/>
    <w:rsid w:val="00943066"/>
    <w:rsid w:val="00945DAE"/>
    <w:rsid w:val="00947ED3"/>
    <w:rsid w:val="0095035A"/>
    <w:rsid w:val="00950DE1"/>
    <w:rsid w:val="009522D4"/>
    <w:rsid w:val="00954A27"/>
    <w:rsid w:val="00960E75"/>
    <w:rsid w:val="009613B1"/>
    <w:rsid w:val="00961DDA"/>
    <w:rsid w:val="00966B29"/>
    <w:rsid w:val="00967069"/>
    <w:rsid w:val="00971061"/>
    <w:rsid w:val="00972D6B"/>
    <w:rsid w:val="009742C2"/>
    <w:rsid w:val="00974B26"/>
    <w:rsid w:val="0097532A"/>
    <w:rsid w:val="00976A09"/>
    <w:rsid w:val="009805EB"/>
    <w:rsid w:val="00980BEF"/>
    <w:rsid w:val="00983D2F"/>
    <w:rsid w:val="009850BA"/>
    <w:rsid w:val="00985BFE"/>
    <w:rsid w:val="00987063"/>
    <w:rsid w:val="009924EF"/>
    <w:rsid w:val="00994876"/>
    <w:rsid w:val="0099491C"/>
    <w:rsid w:val="00994D04"/>
    <w:rsid w:val="00994F57"/>
    <w:rsid w:val="00997078"/>
    <w:rsid w:val="00997440"/>
    <w:rsid w:val="009A314C"/>
    <w:rsid w:val="009A3740"/>
    <w:rsid w:val="009A5865"/>
    <w:rsid w:val="009B47ED"/>
    <w:rsid w:val="009B4DBE"/>
    <w:rsid w:val="009B6266"/>
    <w:rsid w:val="009B6F66"/>
    <w:rsid w:val="009B7B24"/>
    <w:rsid w:val="009C0DDD"/>
    <w:rsid w:val="009C5D41"/>
    <w:rsid w:val="009C649B"/>
    <w:rsid w:val="009C6692"/>
    <w:rsid w:val="009C6CD4"/>
    <w:rsid w:val="009D1EBC"/>
    <w:rsid w:val="009E0ACD"/>
    <w:rsid w:val="009E0B9D"/>
    <w:rsid w:val="009E3C16"/>
    <w:rsid w:val="009E4EC8"/>
    <w:rsid w:val="009E5070"/>
    <w:rsid w:val="009E5D50"/>
    <w:rsid w:val="009E623B"/>
    <w:rsid w:val="009E6E22"/>
    <w:rsid w:val="009F0066"/>
    <w:rsid w:val="009F164C"/>
    <w:rsid w:val="009F5100"/>
    <w:rsid w:val="009F5984"/>
    <w:rsid w:val="00A0078B"/>
    <w:rsid w:val="00A15D93"/>
    <w:rsid w:val="00A20C2B"/>
    <w:rsid w:val="00A236E1"/>
    <w:rsid w:val="00A247E5"/>
    <w:rsid w:val="00A271AD"/>
    <w:rsid w:val="00A434BD"/>
    <w:rsid w:val="00A4350A"/>
    <w:rsid w:val="00A4794B"/>
    <w:rsid w:val="00A5098E"/>
    <w:rsid w:val="00A52B39"/>
    <w:rsid w:val="00A52FA6"/>
    <w:rsid w:val="00A56D7E"/>
    <w:rsid w:val="00A5729F"/>
    <w:rsid w:val="00A60B10"/>
    <w:rsid w:val="00A6254F"/>
    <w:rsid w:val="00A6417E"/>
    <w:rsid w:val="00A7187E"/>
    <w:rsid w:val="00A7372D"/>
    <w:rsid w:val="00A73EB1"/>
    <w:rsid w:val="00A741E1"/>
    <w:rsid w:val="00A741EA"/>
    <w:rsid w:val="00A7492B"/>
    <w:rsid w:val="00A856A4"/>
    <w:rsid w:val="00A903B8"/>
    <w:rsid w:val="00A91114"/>
    <w:rsid w:val="00A92A66"/>
    <w:rsid w:val="00AA25C1"/>
    <w:rsid w:val="00AA5B8D"/>
    <w:rsid w:val="00AB2130"/>
    <w:rsid w:val="00AB326B"/>
    <w:rsid w:val="00AB33F7"/>
    <w:rsid w:val="00AC1D74"/>
    <w:rsid w:val="00AC24FA"/>
    <w:rsid w:val="00AC2B98"/>
    <w:rsid w:val="00AC5C6D"/>
    <w:rsid w:val="00AC7BBA"/>
    <w:rsid w:val="00AD0305"/>
    <w:rsid w:val="00AD20DB"/>
    <w:rsid w:val="00AE1930"/>
    <w:rsid w:val="00AE39C4"/>
    <w:rsid w:val="00AE6CAD"/>
    <w:rsid w:val="00AF1095"/>
    <w:rsid w:val="00AF434E"/>
    <w:rsid w:val="00AF4989"/>
    <w:rsid w:val="00AF6BA8"/>
    <w:rsid w:val="00B013EE"/>
    <w:rsid w:val="00B015BE"/>
    <w:rsid w:val="00B02D28"/>
    <w:rsid w:val="00B02ED6"/>
    <w:rsid w:val="00B02FC9"/>
    <w:rsid w:val="00B045A5"/>
    <w:rsid w:val="00B04F24"/>
    <w:rsid w:val="00B06947"/>
    <w:rsid w:val="00B104FD"/>
    <w:rsid w:val="00B1145A"/>
    <w:rsid w:val="00B12241"/>
    <w:rsid w:val="00B14DBF"/>
    <w:rsid w:val="00B14F4C"/>
    <w:rsid w:val="00B1764B"/>
    <w:rsid w:val="00B21DFE"/>
    <w:rsid w:val="00B2232F"/>
    <w:rsid w:val="00B2403F"/>
    <w:rsid w:val="00B26D4D"/>
    <w:rsid w:val="00B35EAF"/>
    <w:rsid w:val="00B36D5A"/>
    <w:rsid w:val="00B4053E"/>
    <w:rsid w:val="00B40A94"/>
    <w:rsid w:val="00B433B9"/>
    <w:rsid w:val="00B438FB"/>
    <w:rsid w:val="00B477CF"/>
    <w:rsid w:val="00B5015A"/>
    <w:rsid w:val="00B529CF"/>
    <w:rsid w:val="00B535E2"/>
    <w:rsid w:val="00B53BC4"/>
    <w:rsid w:val="00B61D07"/>
    <w:rsid w:val="00B64192"/>
    <w:rsid w:val="00B64199"/>
    <w:rsid w:val="00B671C0"/>
    <w:rsid w:val="00B679DF"/>
    <w:rsid w:val="00B67BC8"/>
    <w:rsid w:val="00B72FFB"/>
    <w:rsid w:val="00B73A31"/>
    <w:rsid w:val="00B73F38"/>
    <w:rsid w:val="00B756E1"/>
    <w:rsid w:val="00B8120F"/>
    <w:rsid w:val="00B81893"/>
    <w:rsid w:val="00B81A31"/>
    <w:rsid w:val="00B83BBB"/>
    <w:rsid w:val="00B84C61"/>
    <w:rsid w:val="00B86AC0"/>
    <w:rsid w:val="00B934F9"/>
    <w:rsid w:val="00BA278F"/>
    <w:rsid w:val="00BA5D20"/>
    <w:rsid w:val="00BA5FD7"/>
    <w:rsid w:val="00BA640A"/>
    <w:rsid w:val="00BA6F6A"/>
    <w:rsid w:val="00BB035F"/>
    <w:rsid w:val="00BB1D09"/>
    <w:rsid w:val="00BB3897"/>
    <w:rsid w:val="00BB5DCA"/>
    <w:rsid w:val="00BB78CF"/>
    <w:rsid w:val="00BC1E3F"/>
    <w:rsid w:val="00BC7CA4"/>
    <w:rsid w:val="00BD3444"/>
    <w:rsid w:val="00BD3CFB"/>
    <w:rsid w:val="00BD4665"/>
    <w:rsid w:val="00BD6B2B"/>
    <w:rsid w:val="00BD6B9A"/>
    <w:rsid w:val="00BF1C62"/>
    <w:rsid w:val="00BF3D56"/>
    <w:rsid w:val="00BF7D94"/>
    <w:rsid w:val="00C00063"/>
    <w:rsid w:val="00C01313"/>
    <w:rsid w:val="00C01556"/>
    <w:rsid w:val="00C049F2"/>
    <w:rsid w:val="00C064C1"/>
    <w:rsid w:val="00C069EE"/>
    <w:rsid w:val="00C10619"/>
    <w:rsid w:val="00C137A6"/>
    <w:rsid w:val="00C30A43"/>
    <w:rsid w:val="00C3352F"/>
    <w:rsid w:val="00C358B4"/>
    <w:rsid w:val="00C35A09"/>
    <w:rsid w:val="00C35A4B"/>
    <w:rsid w:val="00C35D26"/>
    <w:rsid w:val="00C37BFE"/>
    <w:rsid w:val="00C43DB4"/>
    <w:rsid w:val="00C531AA"/>
    <w:rsid w:val="00C56757"/>
    <w:rsid w:val="00C6030F"/>
    <w:rsid w:val="00C6386B"/>
    <w:rsid w:val="00C63FD1"/>
    <w:rsid w:val="00C6779A"/>
    <w:rsid w:val="00C71213"/>
    <w:rsid w:val="00C728CD"/>
    <w:rsid w:val="00C7400B"/>
    <w:rsid w:val="00C74083"/>
    <w:rsid w:val="00C74D91"/>
    <w:rsid w:val="00C83CD9"/>
    <w:rsid w:val="00C84619"/>
    <w:rsid w:val="00C8528C"/>
    <w:rsid w:val="00C85C93"/>
    <w:rsid w:val="00C85EB5"/>
    <w:rsid w:val="00C86EC7"/>
    <w:rsid w:val="00C91724"/>
    <w:rsid w:val="00C927BA"/>
    <w:rsid w:val="00C929DE"/>
    <w:rsid w:val="00C94C8F"/>
    <w:rsid w:val="00C94CB3"/>
    <w:rsid w:val="00C95710"/>
    <w:rsid w:val="00C97008"/>
    <w:rsid w:val="00CA0112"/>
    <w:rsid w:val="00CA0B8E"/>
    <w:rsid w:val="00CA2DBF"/>
    <w:rsid w:val="00CA3760"/>
    <w:rsid w:val="00CA48AD"/>
    <w:rsid w:val="00CA6305"/>
    <w:rsid w:val="00CA6A9C"/>
    <w:rsid w:val="00CB0EDD"/>
    <w:rsid w:val="00CB2DC8"/>
    <w:rsid w:val="00CB7871"/>
    <w:rsid w:val="00CC1AB4"/>
    <w:rsid w:val="00CC1B5F"/>
    <w:rsid w:val="00CC2CAC"/>
    <w:rsid w:val="00CD0513"/>
    <w:rsid w:val="00CD1937"/>
    <w:rsid w:val="00CD1EB8"/>
    <w:rsid w:val="00CD2520"/>
    <w:rsid w:val="00CD5773"/>
    <w:rsid w:val="00CD609B"/>
    <w:rsid w:val="00CD65DD"/>
    <w:rsid w:val="00CD7056"/>
    <w:rsid w:val="00CD7A6D"/>
    <w:rsid w:val="00CE2180"/>
    <w:rsid w:val="00CE523C"/>
    <w:rsid w:val="00CE5A7F"/>
    <w:rsid w:val="00CF7E62"/>
    <w:rsid w:val="00D004AF"/>
    <w:rsid w:val="00D01471"/>
    <w:rsid w:val="00D0163C"/>
    <w:rsid w:val="00D018DF"/>
    <w:rsid w:val="00D04762"/>
    <w:rsid w:val="00D049D3"/>
    <w:rsid w:val="00D0549F"/>
    <w:rsid w:val="00D0786F"/>
    <w:rsid w:val="00D07BF1"/>
    <w:rsid w:val="00D11B6F"/>
    <w:rsid w:val="00D13E31"/>
    <w:rsid w:val="00D15064"/>
    <w:rsid w:val="00D153A2"/>
    <w:rsid w:val="00D219F3"/>
    <w:rsid w:val="00D2516F"/>
    <w:rsid w:val="00D31002"/>
    <w:rsid w:val="00D31955"/>
    <w:rsid w:val="00D34EE2"/>
    <w:rsid w:val="00D43B0E"/>
    <w:rsid w:val="00D4688D"/>
    <w:rsid w:val="00D52CAC"/>
    <w:rsid w:val="00D52E6C"/>
    <w:rsid w:val="00D534BF"/>
    <w:rsid w:val="00D53728"/>
    <w:rsid w:val="00D53747"/>
    <w:rsid w:val="00D56BEB"/>
    <w:rsid w:val="00D56F32"/>
    <w:rsid w:val="00D5744A"/>
    <w:rsid w:val="00D60E82"/>
    <w:rsid w:val="00D61091"/>
    <w:rsid w:val="00D625F6"/>
    <w:rsid w:val="00D631C1"/>
    <w:rsid w:val="00D63299"/>
    <w:rsid w:val="00D63901"/>
    <w:rsid w:val="00D63AE8"/>
    <w:rsid w:val="00D64924"/>
    <w:rsid w:val="00D65065"/>
    <w:rsid w:val="00D652AC"/>
    <w:rsid w:val="00D6592D"/>
    <w:rsid w:val="00D67397"/>
    <w:rsid w:val="00D7169E"/>
    <w:rsid w:val="00D726F7"/>
    <w:rsid w:val="00D753F0"/>
    <w:rsid w:val="00D75C60"/>
    <w:rsid w:val="00D75D9C"/>
    <w:rsid w:val="00D77624"/>
    <w:rsid w:val="00D77FF0"/>
    <w:rsid w:val="00D803DB"/>
    <w:rsid w:val="00D822B9"/>
    <w:rsid w:val="00D82B1F"/>
    <w:rsid w:val="00D876DE"/>
    <w:rsid w:val="00D90D36"/>
    <w:rsid w:val="00D92E3F"/>
    <w:rsid w:val="00D973CB"/>
    <w:rsid w:val="00DA1EC9"/>
    <w:rsid w:val="00DA3103"/>
    <w:rsid w:val="00DA4AB0"/>
    <w:rsid w:val="00DA6100"/>
    <w:rsid w:val="00DB4B10"/>
    <w:rsid w:val="00DB7967"/>
    <w:rsid w:val="00DC1316"/>
    <w:rsid w:val="00DC3B5D"/>
    <w:rsid w:val="00DC425B"/>
    <w:rsid w:val="00DC7875"/>
    <w:rsid w:val="00DD081B"/>
    <w:rsid w:val="00DD24B2"/>
    <w:rsid w:val="00DE20BA"/>
    <w:rsid w:val="00DE28A3"/>
    <w:rsid w:val="00DE2E15"/>
    <w:rsid w:val="00DE62CE"/>
    <w:rsid w:val="00DE7EF5"/>
    <w:rsid w:val="00DF1251"/>
    <w:rsid w:val="00DF28BD"/>
    <w:rsid w:val="00DF521B"/>
    <w:rsid w:val="00E0010F"/>
    <w:rsid w:val="00E0060B"/>
    <w:rsid w:val="00E06D02"/>
    <w:rsid w:val="00E115A6"/>
    <w:rsid w:val="00E11E93"/>
    <w:rsid w:val="00E12325"/>
    <w:rsid w:val="00E12486"/>
    <w:rsid w:val="00E12A51"/>
    <w:rsid w:val="00E15AAA"/>
    <w:rsid w:val="00E16407"/>
    <w:rsid w:val="00E2005A"/>
    <w:rsid w:val="00E26612"/>
    <w:rsid w:val="00E32205"/>
    <w:rsid w:val="00E33392"/>
    <w:rsid w:val="00E410CF"/>
    <w:rsid w:val="00E41E10"/>
    <w:rsid w:val="00E42030"/>
    <w:rsid w:val="00E44C0E"/>
    <w:rsid w:val="00E452BC"/>
    <w:rsid w:val="00E475A5"/>
    <w:rsid w:val="00E514E3"/>
    <w:rsid w:val="00E5389B"/>
    <w:rsid w:val="00E53D87"/>
    <w:rsid w:val="00E55D25"/>
    <w:rsid w:val="00E56E31"/>
    <w:rsid w:val="00E571DB"/>
    <w:rsid w:val="00E611EF"/>
    <w:rsid w:val="00E61A63"/>
    <w:rsid w:val="00E62836"/>
    <w:rsid w:val="00E62EC5"/>
    <w:rsid w:val="00E65509"/>
    <w:rsid w:val="00E6553A"/>
    <w:rsid w:val="00E751C6"/>
    <w:rsid w:val="00E769DB"/>
    <w:rsid w:val="00E774AD"/>
    <w:rsid w:val="00E7752A"/>
    <w:rsid w:val="00E81045"/>
    <w:rsid w:val="00E82566"/>
    <w:rsid w:val="00E82D21"/>
    <w:rsid w:val="00E8728A"/>
    <w:rsid w:val="00E87C2B"/>
    <w:rsid w:val="00E90BAD"/>
    <w:rsid w:val="00E96A0A"/>
    <w:rsid w:val="00EA0420"/>
    <w:rsid w:val="00EA0AB1"/>
    <w:rsid w:val="00EA6267"/>
    <w:rsid w:val="00EA665D"/>
    <w:rsid w:val="00EA6F76"/>
    <w:rsid w:val="00EB092C"/>
    <w:rsid w:val="00EB1B4E"/>
    <w:rsid w:val="00EB414F"/>
    <w:rsid w:val="00EB5E17"/>
    <w:rsid w:val="00EB77CA"/>
    <w:rsid w:val="00EC4339"/>
    <w:rsid w:val="00EC48BE"/>
    <w:rsid w:val="00EC52EA"/>
    <w:rsid w:val="00ED2DF7"/>
    <w:rsid w:val="00ED445C"/>
    <w:rsid w:val="00ED59ED"/>
    <w:rsid w:val="00ED6B0C"/>
    <w:rsid w:val="00ED6E42"/>
    <w:rsid w:val="00EE01C7"/>
    <w:rsid w:val="00EE06D7"/>
    <w:rsid w:val="00EE29F3"/>
    <w:rsid w:val="00EE37E5"/>
    <w:rsid w:val="00EE381D"/>
    <w:rsid w:val="00EE3C9A"/>
    <w:rsid w:val="00EE7AF6"/>
    <w:rsid w:val="00EF03EC"/>
    <w:rsid w:val="00EF0E31"/>
    <w:rsid w:val="00EF2571"/>
    <w:rsid w:val="00EF6870"/>
    <w:rsid w:val="00F01EA4"/>
    <w:rsid w:val="00F02250"/>
    <w:rsid w:val="00F1179D"/>
    <w:rsid w:val="00F126C7"/>
    <w:rsid w:val="00F149D6"/>
    <w:rsid w:val="00F15515"/>
    <w:rsid w:val="00F15619"/>
    <w:rsid w:val="00F2189A"/>
    <w:rsid w:val="00F22733"/>
    <w:rsid w:val="00F35D5C"/>
    <w:rsid w:val="00F35E7C"/>
    <w:rsid w:val="00F361A4"/>
    <w:rsid w:val="00F36B3F"/>
    <w:rsid w:val="00F4050F"/>
    <w:rsid w:val="00F42CE6"/>
    <w:rsid w:val="00F4333A"/>
    <w:rsid w:val="00F44105"/>
    <w:rsid w:val="00F4469C"/>
    <w:rsid w:val="00F45053"/>
    <w:rsid w:val="00F46DD7"/>
    <w:rsid w:val="00F55246"/>
    <w:rsid w:val="00F57863"/>
    <w:rsid w:val="00F608F8"/>
    <w:rsid w:val="00F60990"/>
    <w:rsid w:val="00F636CA"/>
    <w:rsid w:val="00F64332"/>
    <w:rsid w:val="00F64DD8"/>
    <w:rsid w:val="00F65CF6"/>
    <w:rsid w:val="00F66499"/>
    <w:rsid w:val="00F67600"/>
    <w:rsid w:val="00F71E26"/>
    <w:rsid w:val="00F73835"/>
    <w:rsid w:val="00F76FCA"/>
    <w:rsid w:val="00F76FF0"/>
    <w:rsid w:val="00F84879"/>
    <w:rsid w:val="00F860A1"/>
    <w:rsid w:val="00F8782F"/>
    <w:rsid w:val="00F87C25"/>
    <w:rsid w:val="00F90DFD"/>
    <w:rsid w:val="00F90F3A"/>
    <w:rsid w:val="00F93EA3"/>
    <w:rsid w:val="00F94E34"/>
    <w:rsid w:val="00F96B74"/>
    <w:rsid w:val="00FA04C4"/>
    <w:rsid w:val="00FA1F3C"/>
    <w:rsid w:val="00FA257F"/>
    <w:rsid w:val="00FA33F8"/>
    <w:rsid w:val="00FA3BF5"/>
    <w:rsid w:val="00FA5ECF"/>
    <w:rsid w:val="00FB1D0C"/>
    <w:rsid w:val="00FB333F"/>
    <w:rsid w:val="00FB497A"/>
    <w:rsid w:val="00FB5D1F"/>
    <w:rsid w:val="00FB6349"/>
    <w:rsid w:val="00FB7C63"/>
    <w:rsid w:val="00FC3244"/>
    <w:rsid w:val="00FC43AA"/>
    <w:rsid w:val="00FC476D"/>
    <w:rsid w:val="00FD7359"/>
    <w:rsid w:val="00FF1456"/>
    <w:rsid w:val="00FF28FF"/>
    <w:rsid w:val="00FF4DE3"/>
    <w:rsid w:val="00FF6879"/>
    <w:rsid w:val="0F0BE442"/>
    <w:rsid w:val="1194456A"/>
    <w:rsid w:val="13C13A9B"/>
    <w:rsid w:val="56D8AE61"/>
    <w:rsid w:val="65B3D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A844B0D"/>
  <w15:chartTrackingRefBased/>
  <w15:docId w15:val="{10283D2E-805C-4168-BA70-513784FE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065"/>
    <w:rPr>
      <w:lang w:val="fr-CA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outlineLvl w:val="2"/>
    </w:pPr>
    <w:rPr>
      <w:rFonts w:ascii="Arial" w:hAnsi="Arial" w:cs="Arial"/>
      <w:b/>
      <w:sz w:val="2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1418"/>
      </w:tabs>
      <w:outlineLvl w:val="7"/>
    </w:pPr>
    <w:rPr>
      <w:rFonts w:ascii="Arial" w:hAnsi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Pr>
      <w:rFonts w:ascii="Arial" w:hAnsi="Arial"/>
      <w:color w:val="FF00FF"/>
    </w:rPr>
  </w:style>
  <w:style w:type="paragraph" w:styleId="Corpsdetexte2">
    <w:name w:val="Body Text 2"/>
    <w:basedOn w:val="Normal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/>
      <w:b/>
      <w:sz w:val="24"/>
    </w:rPr>
  </w:style>
  <w:style w:type="paragraph" w:styleId="Retraitcorpsdetexte">
    <w:name w:val="Body Text Indent"/>
    <w:basedOn w:val="Normal"/>
    <w:pPr>
      <w:tabs>
        <w:tab w:val="left" w:pos="1350"/>
      </w:tabs>
      <w:ind w:left="1350" w:hanging="1350"/>
    </w:pPr>
    <w:rPr>
      <w:rFonts w:ascii="Arial" w:hAnsi="Arial"/>
      <w:sz w:val="24"/>
    </w:rPr>
  </w:style>
  <w:style w:type="paragraph" w:styleId="Textedebulles">
    <w:name w:val="Balloon Text"/>
    <w:basedOn w:val="Normal"/>
    <w:semiHidden/>
    <w:rsid w:val="006B4395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B72FFB"/>
    <w:rPr>
      <w:b/>
      <w:bCs/>
    </w:rPr>
  </w:style>
  <w:style w:type="paragraph" w:styleId="Notedebasdepage">
    <w:name w:val="footnote text"/>
    <w:basedOn w:val="Normal"/>
    <w:semiHidden/>
    <w:rsid w:val="00BD6B2B"/>
  </w:style>
  <w:style w:type="character" w:styleId="Appelnotedebasdep">
    <w:name w:val="footnote reference"/>
    <w:semiHidden/>
    <w:rsid w:val="00BD6B2B"/>
    <w:rPr>
      <w:vertAlign w:val="superscript"/>
    </w:rPr>
  </w:style>
  <w:style w:type="character" w:styleId="Lienhypertexte">
    <w:name w:val="Hyperlink"/>
    <w:rsid w:val="007E1323"/>
    <w:rPr>
      <w:color w:val="0000FF"/>
      <w:u w:val="single"/>
    </w:rPr>
  </w:style>
  <w:style w:type="character" w:styleId="Lienhypertextesuivivisit">
    <w:name w:val="FollowedHyperlink"/>
    <w:rsid w:val="007E1323"/>
    <w:rPr>
      <w:color w:val="800080"/>
      <w:u w:val="single"/>
    </w:rPr>
  </w:style>
  <w:style w:type="character" w:customStyle="1" w:styleId="PascaleDumont-Bdard">
    <w:name w:val="Pascale Dumont-Bédard"/>
    <w:semiHidden/>
    <w:rsid w:val="000C3473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basedOn w:val="Normal"/>
    <w:uiPriority w:val="99"/>
    <w:rsid w:val="0026266B"/>
    <w:pPr>
      <w:spacing w:after="225"/>
    </w:pPr>
    <w:rPr>
      <w:sz w:val="24"/>
      <w:szCs w:val="24"/>
      <w:lang w:eastAsia="fr-CA"/>
    </w:rPr>
  </w:style>
  <w:style w:type="paragraph" w:styleId="Explorateurdedocuments">
    <w:name w:val="Document Map"/>
    <w:basedOn w:val="Normal"/>
    <w:semiHidden/>
    <w:rsid w:val="000D2321"/>
    <w:pPr>
      <w:shd w:val="clear" w:color="auto" w:fill="000080"/>
    </w:pPr>
    <w:rPr>
      <w:rFonts w:ascii="Tahoma" w:hAnsi="Tahoma" w:cs="Tahoma"/>
    </w:rPr>
  </w:style>
  <w:style w:type="character" w:styleId="Marquedecommentaire">
    <w:name w:val="annotation reference"/>
    <w:uiPriority w:val="99"/>
    <w:semiHidden/>
    <w:rsid w:val="009970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97078"/>
  </w:style>
  <w:style w:type="paragraph" w:styleId="Objetducommentaire">
    <w:name w:val="annotation subject"/>
    <w:basedOn w:val="Commentaire"/>
    <w:next w:val="Commentaire"/>
    <w:semiHidden/>
    <w:rsid w:val="00997078"/>
    <w:rPr>
      <w:b/>
      <w:bCs/>
    </w:rPr>
  </w:style>
  <w:style w:type="paragraph" w:styleId="Titre">
    <w:name w:val="Title"/>
    <w:basedOn w:val="Normal"/>
    <w:link w:val="TitreCar"/>
    <w:uiPriority w:val="10"/>
    <w:qFormat/>
    <w:rsid w:val="00374E91"/>
    <w:pPr>
      <w:jc w:val="center"/>
    </w:pPr>
    <w:rPr>
      <w:b/>
      <w:sz w:val="28"/>
    </w:rPr>
  </w:style>
  <w:style w:type="character" w:customStyle="1" w:styleId="titrefloat">
    <w:name w:val="titrefloat"/>
    <w:basedOn w:val="Policepardfaut"/>
    <w:rsid w:val="000B49F3"/>
  </w:style>
  <w:style w:type="paragraph" w:customStyle="1" w:styleId="ms-rtecustom-textecentre">
    <w:name w:val="ms-rtecustom-textecentre"/>
    <w:basedOn w:val="Normal"/>
    <w:rsid w:val="000B49F3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Accentuation">
    <w:name w:val="Emphasis"/>
    <w:qFormat/>
    <w:rsid w:val="0025244E"/>
    <w:rPr>
      <w:i/>
      <w:iCs/>
    </w:rPr>
  </w:style>
  <w:style w:type="table" w:styleId="Grilledutableau">
    <w:name w:val="Table Grid"/>
    <w:basedOn w:val="TableauNormal"/>
    <w:rsid w:val="00E9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fcdefinition">
    <w:name w:val="tlf_cdefinition"/>
    <w:basedOn w:val="Policepardfaut"/>
    <w:rsid w:val="00E56E31"/>
  </w:style>
  <w:style w:type="character" w:customStyle="1" w:styleId="tlfcsyntagme">
    <w:name w:val="tlf_csyntagme"/>
    <w:basedOn w:val="Policepardfaut"/>
    <w:rsid w:val="00E56E31"/>
  </w:style>
  <w:style w:type="character" w:customStyle="1" w:styleId="CommentaireCar">
    <w:name w:val="Commentaire Car"/>
    <w:link w:val="Commentaire"/>
    <w:uiPriority w:val="99"/>
    <w:semiHidden/>
    <w:rsid w:val="00E571DB"/>
    <w:rPr>
      <w:lang w:eastAsia="fr-FR"/>
    </w:rPr>
  </w:style>
  <w:style w:type="character" w:customStyle="1" w:styleId="TitreCar">
    <w:name w:val="Titre Car"/>
    <w:link w:val="Titre"/>
    <w:uiPriority w:val="10"/>
    <w:rsid w:val="00196E5C"/>
    <w:rPr>
      <w:b/>
      <w:sz w:val="28"/>
      <w:lang w:eastAsia="fr-FR"/>
    </w:rPr>
  </w:style>
  <w:style w:type="character" w:customStyle="1" w:styleId="PieddepageCar">
    <w:name w:val="Pied de page Car"/>
    <w:link w:val="Pieddepage"/>
    <w:rsid w:val="0044737E"/>
    <w:rPr>
      <w:lang w:eastAsia="fr-FR"/>
    </w:rPr>
  </w:style>
  <w:style w:type="character" w:styleId="Mentionnonrsolue">
    <w:name w:val="Unresolved Mention"/>
    <w:uiPriority w:val="99"/>
    <w:semiHidden/>
    <w:unhideWhenUsed/>
    <w:rsid w:val="00E1232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A63C7"/>
    <w:rPr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5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4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61038"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7669">
          <w:marLeft w:val="0"/>
          <w:marRight w:val="0"/>
          <w:marTop w:val="0"/>
          <w:marBottom w:val="0"/>
          <w:divBdr>
            <w:top w:val="single" w:sz="8" w:space="0" w:color="AABB44"/>
            <w:left w:val="single" w:sz="8" w:space="0" w:color="AABB44"/>
            <w:bottom w:val="single" w:sz="8" w:space="0" w:color="AABB44"/>
            <w:right w:val="single" w:sz="8" w:space="0" w:color="AABB44"/>
          </w:divBdr>
          <w:divsChild>
            <w:div w:id="20513758">
              <w:marLeft w:val="0"/>
              <w:marRight w:val="0"/>
              <w:marTop w:val="460"/>
              <w:marBottom w:val="0"/>
              <w:divBdr>
                <w:top w:val="single" w:sz="8" w:space="0" w:color="614700"/>
                <w:left w:val="single" w:sz="8" w:space="0" w:color="614700"/>
                <w:bottom w:val="single" w:sz="8" w:space="0" w:color="614700"/>
                <w:right w:val="single" w:sz="8" w:space="10" w:color="614700"/>
              </w:divBdr>
              <w:divsChild>
                <w:div w:id="14300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54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83725"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241"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167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8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nadeau@itaq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taq.ca/formation-continue/plan-agriculture-durable-pa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706DE11A8B049B50F373A17CC0396" ma:contentTypeVersion="13" ma:contentTypeDescription="Crée un document." ma:contentTypeScope="" ma:versionID="9759d0d10a064bde257154490994bc1d">
  <xsd:schema xmlns:xsd="http://www.w3.org/2001/XMLSchema" xmlns:xs="http://www.w3.org/2001/XMLSchema" xmlns:p="http://schemas.microsoft.com/office/2006/metadata/properties" xmlns:ns2="9a6c377f-6e67-436d-bf95-4892170f0859" xmlns:ns3="52c8f510-c46e-4d48-b9c5-312d5c40cedd" targetNamespace="http://schemas.microsoft.com/office/2006/metadata/properties" ma:root="true" ma:fieldsID="989e22f4af0877987a9f7c30e72c6d04" ns2:_="" ns3:_="">
    <xsd:import namespace="9a6c377f-6e67-436d-bf95-4892170f0859"/>
    <xsd:import namespace="52c8f510-c46e-4d48-b9c5-312d5c40c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377f-6e67-436d-bf95-4892170f0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1325b18-7bf5-438c-9f34-f4476f89f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f510-c46e-4d48-b9c5-312d5c40ce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5b85b3-dba7-4c1e-bc65-bddf7fb679e9}" ma:internalName="TaxCatchAll" ma:showField="CatchAllData" ma:web="52c8f510-c46e-4d48-b9c5-312d5c40c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94427-05D1-42D2-9A98-E35810366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9683F1-757E-4611-BD33-F0F5B98F1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25B79-730E-4A3B-B5E3-0A1DE5585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377f-6e67-436d-bf95-4892170f0859"/>
    <ds:schemaRef ds:uri="52c8f510-c46e-4d48-b9c5-312d5c40c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876</Words>
  <Characters>4820</Characters>
  <Application>Microsoft Office Word</Application>
  <DocSecurity>0</DocSecurity>
  <Lines>40</Lines>
  <Paragraphs>11</Paragraphs>
  <ScaleCrop>false</ScaleCrop>
  <Company>Cossette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Nadeau Caroline (DG) (SHYA)</dc:creator>
  <cp:keywords/>
  <cp:lastModifiedBy>Nadeau Caroline (DG) (SHYA)</cp:lastModifiedBy>
  <cp:revision>3</cp:revision>
  <cp:lastPrinted>2023-01-24T23:56:00Z</cp:lastPrinted>
  <dcterms:created xsi:type="dcterms:W3CDTF">2023-03-03T18:18:00Z</dcterms:created>
  <dcterms:modified xsi:type="dcterms:W3CDTF">2023-03-03T18:36:00Z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